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9BA" w:rsidRPr="009956C9" w:rsidRDefault="001D69BA" w:rsidP="001D69BA">
      <w:pPr>
        <w:spacing w:line="1" w:lineRule="exact"/>
        <w:rPr>
          <w:rFonts w:ascii="Times New Roman" w:hAnsi="Times New Roman" w:cs="Times New Roman"/>
        </w:rPr>
      </w:pPr>
    </w:p>
    <w:p w:rsidR="001D69BA" w:rsidRPr="009956C9" w:rsidRDefault="001D69BA" w:rsidP="001D69BA">
      <w:pPr>
        <w:jc w:val="center"/>
        <w:rPr>
          <w:rFonts w:ascii="Times New Roman" w:hAnsi="Times New Roman" w:cs="Times New Roman"/>
          <w:sz w:val="20"/>
        </w:rPr>
      </w:pPr>
    </w:p>
    <w:p w:rsidR="001D69BA" w:rsidRPr="009956C9" w:rsidRDefault="001D69BA" w:rsidP="001D69BA">
      <w:pPr>
        <w:spacing w:before="25" w:afterLines="25" w:after="60" w:line="25" w:lineRule="atLeast"/>
        <w:jc w:val="center"/>
        <w:rPr>
          <w:rFonts w:ascii="Times New Roman" w:hAnsi="Times New Roman" w:cs="Times New Roman"/>
          <w:b/>
        </w:rPr>
      </w:pPr>
      <w:r w:rsidRPr="009956C9">
        <w:rPr>
          <w:rFonts w:ascii="Times New Roman" w:hAnsi="Times New Roman" w:cs="Times New Roman"/>
          <w:b/>
          <w:color w:val="000000" w:themeColor="text1"/>
        </w:rPr>
        <w:t>202</w:t>
      </w:r>
      <w:r>
        <w:rPr>
          <w:rFonts w:ascii="Times New Roman" w:hAnsi="Times New Roman" w:cs="Times New Roman"/>
          <w:b/>
          <w:color w:val="000000" w:themeColor="text1"/>
        </w:rPr>
        <w:t>2</w:t>
      </w:r>
      <w:r w:rsidRPr="009956C9">
        <w:rPr>
          <w:rFonts w:ascii="Times New Roman" w:hAnsi="Times New Roman" w:cs="Times New Roman"/>
          <w:b/>
          <w:color w:val="000000" w:themeColor="text1"/>
        </w:rPr>
        <w:t xml:space="preserve"> M. METINIS  FINANSINIŲ ATASKAITŲ RINKINIO</w:t>
      </w:r>
      <w:r w:rsidRPr="009956C9">
        <w:rPr>
          <w:rFonts w:ascii="Times New Roman" w:hAnsi="Times New Roman" w:cs="Times New Roman"/>
          <w:b/>
          <w:color w:val="000000" w:themeColor="text1"/>
        </w:rPr>
        <w:br/>
      </w:r>
      <w:r w:rsidRPr="009956C9">
        <w:rPr>
          <w:rFonts w:ascii="Times New Roman" w:hAnsi="Times New Roman" w:cs="Times New Roman"/>
          <w:b/>
        </w:rPr>
        <w:t>AIŠKINAMASIS RAŠTAS</w:t>
      </w:r>
    </w:p>
    <w:p w:rsidR="001D69BA" w:rsidRPr="009956C9" w:rsidRDefault="001D69BA" w:rsidP="001D69BA">
      <w:pPr>
        <w:spacing w:before="25" w:afterLines="25" w:after="60" w:line="25" w:lineRule="atLeast"/>
        <w:jc w:val="center"/>
        <w:rPr>
          <w:rFonts w:ascii="Times New Roman" w:hAnsi="Times New Roman" w:cs="Times New Roman"/>
        </w:rPr>
      </w:pPr>
    </w:p>
    <w:p w:rsidR="001D69BA" w:rsidRPr="009956C9" w:rsidRDefault="001D69BA" w:rsidP="001D69BA">
      <w:pPr>
        <w:pStyle w:val="Pagrindinistekstas"/>
        <w:numPr>
          <w:ilvl w:val="0"/>
          <w:numId w:val="1"/>
        </w:numPr>
        <w:tabs>
          <w:tab w:val="left" w:pos="354"/>
        </w:tabs>
        <w:spacing w:before="25" w:afterLines="25" w:after="60" w:line="25" w:lineRule="atLeast"/>
        <w:jc w:val="center"/>
        <w:rPr>
          <w:b/>
          <w:sz w:val="24"/>
          <w:szCs w:val="24"/>
        </w:rPr>
      </w:pPr>
      <w:bookmarkStart w:id="0" w:name="bookmark3"/>
      <w:bookmarkEnd w:id="0"/>
      <w:r w:rsidRPr="009956C9">
        <w:rPr>
          <w:b/>
          <w:sz w:val="24"/>
          <w:szCs w:val="24"/>
        </w:rPr>
        <w:t>BENDROJI DALIS</w:t>
      </w:r>
    </w:p>
    <w:p w:rsidR="001D69BA" w:rsidRPr="009956C9" w:rsidRDefault="001D69BA" w:rsidP="001D69BA">
      <w:pPr>
        <w:pStyle w:val="Pagrindinistekstas"/>
        <w:tabs>
          <w:tab w:val="left" w:pos="354"/>
        </w:tabs>
        <w:spacing w:before="25" w:afterLines="25" w:after="60" w:line="360" w:lineRule="auto"/>
        <w:rPr>
          <w:sz w:val="24"/>
          <w:szCs w:val="24"/>
        </w:rPr>
      </w:pPr>
    </w:p>
    <w:p w:rsidR="001D69BA" w:rsidRDefault="001D69BA" w:rsidP="001D69BA">
      <w:pPr>
        <w:pStyle w:val="Pagrindinistekstas"/>
        <w:spacing w:before="100" w:beforeAutospacing="1" w:after="100" w:afterAutospacing="1" w:line="360" w:lineRule="auto"/>
        <w:ind w:firstLine="740"/>
        <w:contextualSpacing/>
        <w:jc w:val="both"/>
        <w:rPr>
          <w:sz w:val="24"/>
          <w:szCs w:val="24"/>
        </w:rPr>
      </w:pPr>
      <w:r w:rsidRPr="009C1C8E">
        <w:rPr>
          <w:sz w:val="24"/>
          <w:szCs w:val="24"/>
        </w:rPr>
        <w:t>Šiaulių m</w:t>
      </w:r>
      <w:r>
        <w:rPr>
          <w:sz w:val="24"/>
          <w:szCs w:val="24"/>
        </w:rPr>
        <w:t>iesto</w:t>
      </w:r>
      <w:r w:rsidRPr="009C1C8E">
        <w:rPr>
          <w:sz w:val="24"/>
          <w:szCs w:val="24"/>
        </w:rPr>
        <w:t xml:space="preserve"> </w:t>
      </w:r>
      <w:r>
        <w:rPr>
          <w:sz w:val="24"/>
          <w:szCs w:val="24"/>
        </w:rPr>
        <w:t>lopšelis – darželis „Trys nykštukai“</w:t>
      </w:r>
      <w:r w:rsidRPr="009C1C8E">
        <w:rPr>
          <w:sz w:val="24"/>
          <w:szCs w:val="24"/>
        </w:rPr>
        <w:t xml:space="preserve"> yra biudžetinė įstaiga. </w:t>
      </w:r>
      <w:r>
        <w:rPr>
          <w:sz w:val="24"/>
          <w:szCs w:val="24"/>
        </w:rPr>
        <w:t>Lopšelio - darželio</w:t>
      </w:r>
      <w:r w:rsidRPr="009C1C8E">
        <w:rPr>
          <w:sz w:val="24"/>
          <w:szCs w:val="24"/>
        </w:rPr>
        <w:t xml:space="preserve"> steigėjas – Šiaulių m</w:t>
      </w:r>
      <w:r>
        <w:rPr>
          <w:sz w:val="24"/>
          <w:szCs w:val="24"/>
        </w:rPr>
        <w:t>iesto</w:t>
      </w:r>
      <w:r w:rsidRPr="009C1C8E">
        <w:rPr>
          <w:sz w:val="24"/>
          <w:szCs w:val="24"/>
        </w:rPr>
        <w:t xml:space="preserve"> savivaldybė. </w:t>
      </w:r>
      <w:r>
        <w:rPr>
          <w:sz w:val="24"/>
          <w:szCs w:val="24"/>
        </w:rPr>
        <w:t>L</w:t>
      </w:r>
      <w:r w:rsidRPr="00FE294A">
        <w:rPr>
          <w:sz w:val="24"/>
          <w:szCs w:val="24"/>
        </w:rPr>
        <w:t xml:space="preserve">opšelis – darželis „Trys nykštukai“ yra viešasis juridinis asmuo, įregistruotas Juridinių asmenų registre. Įstaigos buveinė – Tilžės </w:t>
      </w:r>
      <w:proofErr w:type="spellStart"/>
      <w:r w:rsidRPr="00FE294A">
        <w:rPr>
          <w:sz w:val="24"/>
          <w:szCs w:val="24"/>
        </w:rPr>
        <w:t>g</w:t>
      </w:r>
      <w:proofErr w:type="spellEnd"/>
      <w:r w:rsidRPr="00FE294A">
        <w:rPr>
          <w:sz w:val="24"/>
          <w:szCs w:val="24"/>
        </w:rPr>
        <w:t xml:space="preserve">. 41, </w:t>
      </w:r>
      <w:r>
        <w:rPr>
          <w:sz w:val="24"/>
          <w:szCs w:val="24"/>
        </w:rPr>
        <w:t xml:space="preserve">LT-78206 </w:t>
      </w:r>
      <w:r w:rsidRPr="00FE294A">
        <w:rPr>
          <w:sz w:val="24"/>
          <w:szCs w:val="24"/>
        </w:rPr>
        <w:t xml:space="preserve">Šiauliai. Įstaigos kodas 190530088. Šiaulių lopšelis - darželis </w:t>
      </w:r>
      <w:r>
        <w:rPr>
          <w:sz w:val="24"/>
          <w:szCs w:val="24"/>
        </w:rPr>
        <w:t>„</w:t>
      </w:r>
      <w:r w:rsidRPr="00FE294A">
        <w:rPr>
          <w:sz w:val="24"/>
          <w:szCs w:val="24"/>
        </w:rPr>
        <w:t>Trys nykštukai</w:t>
      </w:r>
      <w:r>
        <w:rPr>
          <w:sz w:val="24"/>
          <w:szCs w:val="24"/>
        </w:rPr>
        <w:t>“</w:t>
      </w:r>
      <w:r w:rsidRPr="00FE294A">
        <w:rPr>
          <w:sz w:val="24"/>
          <w:szCs w:val="24"/>
        </w:rPr>
        <w:t xml:space="preserve"> yra ikimokyklinio ugdymo įstaiga, vykdanti </w:t>
      </w:r>
      <w:r>
        <w:rPr>
          <w:sz w:val="24"/>
          <w:szCs w:val="24"/>
        </w:rPr>
        <w:t>Šiaulių miesto s</w:t>
      </w:r>
      <w:r w:rsidRPr="00FE294A">
        <w:rPr>
          <w:sz w:val="24"/>
          <w:szCs w:val="24"/>
        </w:rPr>
        <w:t>avivaldybės biudžeto Švietimo prieinamumo ir kokybės užtikrinimo programą (08.03.01.01.01). Lopšelio – darželio veiklos tikslas – sudaryti sąlygas ugdytis ikimokyklinio ir priešmokyklinio amžiaus vaikams, teikti saugų, kokybišką, vaiko raidą atitinkantį ikimokyklinį ir priešmokyklinį ugdymą.</w:t>
      </w:r>
      <w:r>
        <w:rPr>
          <w:sz w:val="24"/>
          <w:szCs w:val="24"/>
        </w:rPr>
        <w:t xml:space="preserve"> Įstaigos ataskaitinio laikotarpio pabaigoje darbuotojų skaičius buvo 53. </w:t>
      </w:r>
      <w:r w:rsidRPr="00FE294A">
        <w:rPr>
          <w:sz w:val="24"/>
          <w:szCs w:val="24"/>
        </w:rPr>
        <w:t xml:space="preserve"> Įstaigos veikla finansuojama Šiaulių savivaldybės biudžeto ir kitomis lėšomis.   </w:t>
      </w:r>
    </w:p>
    <w:p w:rsidR="001D69BA" w:rsidRPr="00F30AFB" w:rsidRDefault="001D69BA" w:rsidP="001D69BA">
      <w:pPr>
        <w:pStyle w:val="Pagrindinistekstas"/>
        <w:ind w:firstLine="567"/>
        <w:jc w:val="both"/>
        <w:rPr>
          <w:sz w:val="24"/>
          <w:szCs w:val="24"/>
        </w:rPr>
      </w:pPr>
      <w:r w:rsidRPr="00F30AFB">
        <w:rPr>
          <w:sz w:val="24"/>
          <w:szCs w:val="24"/>
        </w:rPr>
        <w:t>Kontroliuojamų ir asocijuotų subjektų Šiaulių lopšelis darželis „</w:t>
      </w:r>
      <w:r>
        <w:rPr>
          <w:sz w:val="24"/>
          <w:szCs w:val="24"/>
        </w:rPr>
        <w:t>Trys nykštukai</w:t>
      </w:r>
      <w:r w:rsidRPr="00F30AFB">
        <w:rPr>
          <w:sz w:val="24"/>
          <w:szCs w:val="24"/>
        </w:rPr>
        <w:t>“ neturi. Finansinės ataskaitas įstaiga teikia ketvirčiais ir už pilnus  finansinius metus. Finansinėse ataskaitose pateikiami duomenys išreikšti Lietuvos Respublikos piniginiais vienetais – eurais.</w:t>
      </w:r>
    </w:p>
    <w:p w:rsidR="001D69BA" w:rsidRPr="009956C9" w:rsidRDefault="001D69BA" w:rsidP="001D69BA">
      <w:pPr>
        <w:pStyle w:val="Pagrindinistekstas"/>
        <w:spacing w:beforeLines="25" w:before="60" w:afterLines="25" w:after="60" w:line="300" w:lineRule="auto"/>
        <w:ind w:firstLine="740"/>
        <w:jc w:val="both"/>
        <w:rPr>
          <w:sz w:val="24"/>
          <w:szCs w:val="24"/>
        </w:rPr>
      </w:pPr>
    </w:p>
    <w:p w:rsidR="001D69BA" w:rsidRDefault="001D69BA" w:rsidP="001D69BA">
      <w:pPr>
        <w:pStyle w:val="Pagrindinistekstas"/>
        <w:numPr>
          <w:ilvl w:val="0"/>
          <w:numId w:val="1"/>
        </w:numPr>
        <w:tabs>
          <w:tab w:val="left" w:pos="363"/>
        </w:tabs>
        <w:spacing w:after="0" w:line="396" w:lineRule="auto"/>
        <w:jc w:val="center"/>
        <w:rPr>
          <w:sz w:val="24"/>
          <w:szCs w:val="24"/>
        </w:rPr>
      </w:pPr>
      <w:bookmarkStart w:id="1" w:name="bookmark4"/>
      <w:bookmarkEnd w:id="1"/>
      <w:r>
        <w:rPr>
          <w:sz w:val="24"/>
          <w:szCs w:val="24"/>
        </w:rPr>
        <w:t>APSKAITOS POLITIKA</w:t>
      </w:r>
    </w:p>
    <w:p w:rsidR="001D69BA" w:rsidRDefault="001D69BA" w:rsidP="001D69BA">
      <w:pPr>
        <w:pStyle w:val="Antrat1"/>
        <w:numPr>
          <w:ilvl w:val="0"/>
          <w:numId w:val="6"/>
        </w:numPr>
        <w:tabs>
          <w:tab w:val="num" w:pos="360"/>
        </w:tabs>
        <w:suppressAutoHyphens/>
        <w:spacing w:before="240" w:after="60"/>
        <w:ind w:left="0" w:firstLine="0"/>
        <w:rPr>
          <w:bCs/>
          <w:szCs w:val="24"/>
        </w:rPr>
      </w:pPr>
      <w:bookmarkStart w:id="2" w:name="_Toc333413247"/>
      <w:r>
        <w:rPr>
          <w:bCs/>
          <w:szCs w:val="24"/>
        </w:rPr>
        <w:t>Apskaitos politikos taikymas</w:t>
      </w:r>
      <w:bookmarkEnd w:id="2"/>
    </w:p>
    <w:p w:rsidR="001D69BA" w:rsidRDefault="001D69BA" w:rsidP="001D69BA">
      <w:pPr>
        <w:tabs>
          <w:tab w:val="left" w:pos="1701"/>
          <w:tab w:val="left" w:pos="2552"/>
        </w:tabs>
        <w:autoSpaceDE w:val="0"/>
        <w:spacing w:before="25" w:after="25"/>
        <w:ind w:firstLine="851"/>
        <w:jc w:val="both"/>
        <w:rPr>
          <w:rFonts w:ascii="Times New Roman" w:hAnsi="Times New Roman" w:cs="Times New Roman"/>
          <w:b/>
          <w:bCs/>
        </w:rPr>
      </w:pPr>
    </w:p>
    <w:p w:rsidR="001D69BA" w:rsidRDefault="001D69BA" w:rsidP="001D69BA">
      <w:pPr>
        <w:widowControl/>
        <w:numPr>
          <w:ilvl w:val="0"/>
          <w:numId w:val="7"/>
        </w:numPr>
        <w:tabs>
          <w:tab w:val="num" w:pos="142"/>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Šiaulių miesto savivaldybės Apskaitos centro ir įstaigų, kurių buhalterinė apskaita yra tvarkoma centralizuotai Apskaitos centro, apskaitos politika parengta Lietuvos Respublikos viešojo sektoriaus atskaitomybės įstatymu, Viešojo sektoriaus apskaitos ir finansinės atskaitomybės standartais (toliau – VSAFAS).</w:t>
      </w:r>
    </w:p>
    <w:p w:rsidR="001D69BA" w:rsidRDefault="001D69BA" w:rsidP="001D69BA">
      <w:pPr>
        <w:widowControl/>
        <w:numPr>
          <w:ilvl w:val="0"/>
          <w:numId w:val="7"/>
        </w:numPr>
        <w:tabs>
          <w:tab w:val="num" w:pos="142"/>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Šiaulių miesto savivaldybės Apskaitos centras ir įstaigos, kurių buhalterinė apskaita yra tvarkoma centralizuotai Apskaitos centro, taiko tokią apskaitos politiką, kuri užtikrina, kad apskaitos duomenys atitiktų kiekvieno taikytino VSAFAS reikalavimus. Jeigu nėra konkretaus VSAFAS reikalavimo, vadovaujamasi bendraisiais apskaitos principais, nustatytais 1-ajame viešojo sektoriaus apskaitos ir finansinės atskaitomybės standarte „Informacijos pateikimas finansinių ataskaitų rinkinyje“ (toliau – 1-asis VSAFAS). </w:t>
      </w:r>
    </w:p>
    <w:p w:rsidR="001D69BA" w:rsidRDefault="001D69BA" w:rsidP="001D69BA">
      <w:pPr>
        <w:widowControl/>
        <w:numPr>
          <w:ilvl w:val="0"/>
          <w:numId w:val="7"/>
        </w:numPr>
        <w:tabs>
          <w:tab w:val="num" w:pos="142"/>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Šiame apskaitos vadove pateikta apskaitos politika, ūkinių įvykių ir ūkinių operacijų registravimo tvarka užtikrina, kad finansinėse ataskaitose pateikiama informacija yra:</w:t>
      </w:r>
    </w:p>
    <w:p w:rsidR="001D69BA" w:rsidRDefault="001D69BA" w:rsidP="001D69BA">
      <w:pPr>
        <w:widowControl/>
        <w:numPr>
          <w:ilvl w:val="1"/>
          <w:numId w:val="7"/>
        </w:numPr>
        <w:tabs>
          <w:tab w:val="clear" w:pos="900"/>
          <w:tab w:val="num" w:pos="0"/>
          <w:tab w:val="num" w:pos="142"/>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svarbi vartotojų sprendimams priimti; </w:t>
      </w:r>
    </w:p>
    <w:p w:rsidR="001D69BA" w:rsidRDefault="001D69BA" w:rsidP="001D69BA">
      <w:pPr>
        <w:widowControl/>
        <w:numPr>
          <w:ilvl w:val="1"/>
          <w:numId w:val="7"/>
        </w:numPr>
        <w:tabs>
          <w:tab w:val="clear" w:pos="900"/>
          <w:tab w:val="num" w:pos="0"/>
          <w:tab w:val="num" w:pos="142"/>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patikima, nes:</w:t>
      </w:r>
    </w:p>
    <w:p w:rsidR="001D69BA" w:rsidRDefault="001D69BA" w:rsidP="001D69BA">
      <w:pPr>
        <w:widowControl/>
        <w:numPr>
          <w:ilvl w:val="2"/>
          <w:numId w:val="7"/>
        </w:numPr>
        <w:tabs>
          <w:tab w:val="num" w:pos="142"/>
          <w:tab w:val="left" w:pos="1134"/>
          <w:tab w:val="left" w:pos="1418"/>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teisingai nurodo finansinius rezultatus, finansinę būklę ir pinigų srautus; </w:t>
      </w:r>
    </w:p>
    <w:p w:rsidR="001D69BA" w:rsidRDefault="001D69BA" w:rsidP="001D69BA">
      <w:pPr>
        <w:widowControl/>
        <w:numPr>
          <w:ilvl w:val="2"/>
          <w:numId w:val="7"/>
        </w:numPr>
        <w:tabs>
          <w:tab w:val="num" w:pos="142"/>
          <w:tab w:val="left" w:pos="1134"/>
          <w:tab w:val="left" w:pos="1418"/>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lastRenderedPageBreak/>
        <w:t>parodo ūkinių įvykių ir ūkinių operacijų ekonominę prasmę, ne vien teisinę formą;</w:t>
      </w:r>
    </w:p>
    <w:p w:rsidR="001D69BA" w:rsidRDefault="001D69BA" w:rsidP="001D69BA">
      <w:pPr>
        <w:widowControl/>
        <w:numPr>
          <w:ilvl w:val="2"/>
          <w:numId w:val="7"/>
        </w:numPr>
        <w:tabs>
          <w:tab w:val="num" w:pos="142"/>
          <w:tab w:val="left" w:pos="1134"/>
          <w:tab w:val="left" w:pos="1418"/>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yra nešališka, netendencinga;</w:t>
      </w:r>
    </w:p>
    <w:p w:rsidR="001D69BA" w:rsidRDefault="001D69BA" w:rsidP="001D69BA">
      <w:pPr>
        <w:widowControl/>
        <w:numPr>
          <w:ilvl w:val="2"/>
          <w:numId w:val="7"/>
        </w:numPr>
        <w:tabs>
          <w:tab w:val="num" w:pos="142"/>
          <w:tab w:val="left" w:pos="1134"/>
          <w:tab w:val="left" w:pos="1418"/>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apdairiai pateikta (atsargumo principas);</w:t>
      </w:r>
    </w:p>
    <w:p w:rsidR="001D69BA" w:rsidRDefault="001D69BA" w:rsidP="001D69BA">
      <w:pPr>
        <w:widowControl/>
        <w:numPr>
          <w:ilvl w:val="1"/>
          <w:numId w:val="7"/>
        </w:numPr>
        <w:tabs>
          <w:tab w:val="num" w:pos="142"/>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visais reikšmingais atvejais išsami. </w:t>
      </w:r>
    </w:p>
    <w:p w:rsidR="001D69BA" w:rsidRDefault="001D69BA" w:rsidP="001D69BA">
      <w:pPr>
        <w:widowControl/>
        <w:numPr>
          <w:ilvl w:val="0"/>
          <w:numId w:val="7"/>
        </w:numPr>
        <w:tabs>
          <w:tab w:val="num" w:pos="142"/>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Pasirinktą apskaitos politika taikoma nuolat. </w:t>
      </w:r>
    </w:p>
    <w:p w:rsidR="001D69BA" w:rsidRDefault="001D69BA" w:rsidP="001D69BA">
      <w:pPr>
        <w:widowControl/>
        <w:numPr>
          <w:ilvl w:val="0"/>
          <w:numId w:val="7"/>
        </w:numPr>
        <w:tabs>
          <w:tab w:val="num" w:pos="142"/>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Apskaitos politika keičiama tik vadovaujantis 7-uoju viešojo sektoriaus apskaitos ir finansinės atskaitomybės standartu „Apskaitos politikos, apskaitinių įverčių keitimas ir klaidų taisymas“ (toliau – 7-asis VSAFAS) ir taikoma vienodai visiems finansinių ataskaitų straipsniams, kuriems turi įtakos apskaitos politikos keitimas. </w:t>
      </w:r>
    </w:p>
    <w:p w:rsidR="001D69BA" w:rsidRDefault="001D69BA" w:rsidP="001D69BA">
      <w:pPr>
        <w:widowControl/>
        <w:numPr>
          <w:ilvl w:val="0"/>
          <w:numId w:val="7"/>
        </w:numPr>
        <w:tabs>
          <w:tab w:val="num" w:pos="142"/>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Apskaitos politika apima ūkinių operacijų ir įvykių pripažinimo, įvertinimo ir apskaitos principus, metodus ir taisykles.</w:t>
      </w:r>
    </w:p>
    <w:p w:rsidR="001D69BA" w:rsidRDefault="001D69BA" w:rsidP="001D69BA">
      <w:pPr>
        <w:widowControl/>
        <w:numPr>
          <w:ilvl w:val="0"/>
          <w:numId w:val="7"/>
        </w:numPr>
        <w:tabs>
          <w:tab w:val="left" w:pos="90"/>
          <w:tab w:val="num" w:pos="142"/>
          <w:tab w:val="left" w:pos="1134"/>
          <w:tab w:val="left" w:pos="2552"/>
        </w:tabs>
        <w:suppressAutoHyphens/>
        <w:autoSpaceDE w:val="0"/>
        <w:spacing w:before="25" w:after="25" w:line="300" w:lineRule="auto"/>
        <w:ind w:firstLine="567"/>
        <w:jc w:val="both"/>
        <w:rPr>
          <w:rFonts w:ascii="Times New Roman" w:hAnsi="Times New Roman" w:cs="Times New Roman"/>
          <w:strike/>
        </w:rPr>
      </w:pPr>
      <w:r>
        <w:rPr>
          <w:rFonts w:ascii="Times New Roman" w:hAnsi="Times New Roman" w:cs="Times New Roman"/>
        </w:rPr>
        <w:t>Veiklai vykdyti įsigytas nematerialusis, ilgalaikis ir trumpalaikis turtas į apskaitą turi būti įtraukti kartu su pridėtinės vertės mokesčiu, nes Šiaulių miesto savivaldybės Apskaitos centras ir įstaigos, kurių buhalterinė apskaita yra tvarkoma centralizuotai Apskaitos centro, nėra pridėtinės vertės mokesčio mokėtojai.</w:t>
      </w:r>
    </w:p>
    <w:p w:rsidR="001D69BA" w:rsidRDefault="001D69BA" w:rsidP="001D69BA">
      <w:pPr>
        <w:tabs>
          <w:tab w:val="left" w:pos="90"/>
          <w:tab w:val="left" w:pos="1134"/>
          <w:tab w:val="left" w:pos="2552"/>
        </w:tabs>
        <w:suppressAutoHyphens/>
        <w:autoSpaceDE w:val="0"/>
        <w:spacing w:before="25" w:after="25" w:line="300" w:lineRule="auto"/>
        <w:ind w:left="567"/>
        <w:jc w:val="both"/>
        <w:rPr>
          <w:rFonts w:ascii="Times New Roman" w:hAnsi="Times New Roman" w:cs="Times New Roman"/>
          <w:strike/>
        </w:rPr>
      </w:pPr>
    </w:p>
    <w:p w:rsidR="001D69BA" w:rsidRDefault="001D69BA" w:rsidP="001D69BA">
      <w:pPr>
        <w:pStyle w:val="Antrat1"/>
        <w:numPr>
          <w:ilvl w:val="0"/>
          <w:numId w:val="6"/>
        </w:numPr>
        <w:tabs>
          <w:tab w:val="num" w:pos="360"/>
        </w:tabs>
        <w:suppressAutoHyphens/>
        <w:spacing w:before="240" w:after="60"/>
        <w:ind w:left="0" w:firstLine="0"/>
        <w:rPr>
          <w:bCs/>
          <w:szCs w:val="24"/>
        </w:rPr>
      </w:pPr>
      <w:bookmarkStart w:id="3" w:name="_Toc333413248"/>
      <w:r>
        <w:rPr>
          <w:bCs/>
          <w:szCs w:val="24"/>
        </w:rPr>
        <w:t>Bendrieji apskaitos principai, metodai ir taisyklės</w:t>
      </w:r>
      <w:bookmarkEnd w:id="3"/>
    </w:p>
    <w:p w:rsidR="001D69BA" w:rsidRDefault="001D69BA" w:rsidP="001D69BA">
      <w:pPr>
        <w:tabs>
          <w:tab w:val="left" w:pos="1701"/>
          <w:tab w:val="left" w:pos="2552"/>
        </w:tabs>
        <w:autoSpaceDE w:val="0"/>
        <w:spacing w:before="25" w:after="25"/>
        <w:ind w:firstLine="851"/>
        <w:jc w:val="both"/>
        <w:rPr>
          <w:rFonts w:ascii="Times New Roman" w:hAnsi="Times New Roman" w:cs="Times New Roman"/>
          <w:b/>
          <w:bCs/>
        </w:rPr>
      </w:pP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Tvarkant apskaitą ir sudarant finansines ataskaitas, yra vadovaujamasi VSAFAS. Ūkinės operacijos ir įvykiai registruojami apskaitoje ir finansinių ataskaitų rinkinys rengiamas taikant šiuos bendruosius apskaitos principus: </w:t>
      </w:r>
    </w:p>
    <w:p w:rsidR="001D69BA" w:rsidRDefault="001D69BA" w:rsidP="001D69BA">
      <w:pPr>
        <w:widowControl/>
        <w:numPr>
          <w:ilvl w:val="1"/>
          <w:numId w:val="7"/>
        </w:numPr>
        <w:tabs>
          <w:tab w:val="clear" w:pos="900"/>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kaupimo; </w:t>
      </w:r>
    </w:p>
    <w:p w:rsidR="001D69BA" w:rsidRDefault="001D69BA" w:rsidP="001D69BA">
      <w:pPr>
        <w:widowControl/>
        <w:numPr>
          <w:ilvl w:val="1"/>
          <w:numId w:val="7"/>
        </w:numPr>
        <w:tabs>
          <w:tab w:val="clear" w:pos="900"/>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subjekto; </w:t>
      </w:r>
    </w:p>
    <w:p w:rsidR="001D69BA" w:rsidRDefault="001D69BA" w:rsidP="001D69BA">
      <w:pPr>
        <w:widowControl/>
        <w:numPr>
          <w:ilvl w:val="1"/>
          <w:numId w:val="7"/>
        </w:numPr>
        <w:tabs>
          <w:tab w:val="clear" w:pos="900"/>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veiklos tęstinumo; </w:t>
      </w:r>
    </w:p>
    <w:p w:rsidR="001D69BA" w:rsidRDefault="001D69BA" w:rsidP="001D69BA">
      <w:pPr>
        <w:widowControl/>
        <w:numPr>
          <w:ilvl w:val="1"/>
          <w:numId w:val="7"/>
        </w:numPr>
        <w:tabs>
          <w:tab w:val="clear" w:pos="900"/>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periodiškumo; </w:t>
      </w:r>
    </w:p>
    <w:p w:rsidR="001D69BA" w:rsidRDefault="001D69BA" w:rsidP="001D69BA">
      <w:pPr>
        <w:widowControl/>
        <w:numPr>
          <w:ilvl w:val="1"/>
          <w:numId w:val="7"/>
        </w:numPr>
        <w:tabs>
          <w:tab w:val="clear" w:pos="900"/>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pastovumo; </w:t>
      </w:r>
    </w:p>
    <w:p w:rsidR="001D69BA" w:rsidRDefault="001D69BA" w:rsidP="001D69BA">
      <w:pPr>
        <w:widowControl/>
        <w:numPr>
          <w:ilvl w:val="1"/>
          <w:numId w:val="7"/>
        </w:numPr>
        <w:tabs>
          <w:tab w:val="clear" w:pos="900"/>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piniginio mato; </w:t>
      </w:r>
    </w:p>
    <w:p w:rsidR="001D69BA" w:rsidRDefault="001D69BA" w:rsidP="001D69BA">
      <w:pPr>
        <w:widowControl/>
        <w:numPr>
          <w:ilvl w:val="1"/>
          <w:numId w:val="7"/>
        </w:numPr>
        <w:tabs>
          <w:tab w:val="clear" w:pos="900"/>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palyginimo; </w:t>
      </w:r>
    </w:p>
    <w:p w:rsidR="001D69BA" w:rsidRDefault="001D69BA" w:rsidP="001D69BA">
      <w:pPr>
        <w:widowControl/>
        <w:numPr>
          <w:ilvl w:val="1"/>
          <w:numId w:val="7"/>
        </w:numPr>
        <w:tabs>
          <w:tab w:val="clear" w:pos="900"/>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atsargumo; </w:t>
      </w:r>
    </w:p>
    <w:p w:rsidR="001D69BA" w:rsidRDefault="001D69BA" w:rsidP="001D69BA">
      <w:pPr>
        <w:widowControl/>
        <w:numPr>
          <w:ilvl w:val="1"/>
          <w:numId w:val="7"/>
        </w:numPr>
        <w:tabs>
          <w:tab w:val="clear" w:pos="900"/>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neutralumo; </w:t>
      </w:r>
    </w:p>
    <w:p w:rsidR="001D69BA" w:rsidRDefault="001D69BA" w:rsidP="001D69BA">
      <w:pPr>
        <w:widowControl/>
        <w:numPr>
          <w:ilvl w:val="1"/>
          <w:numId w:val="7"/>
        </w:numPr>
        <w:tabs>
          <w:tab w:val="clear" w:pos="900"/>
          <w:tab w:val="left" w:pos="1260"/>
          <w:tab w:val="left" w:pos="1418"/>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turinio viršenybės prieš formą.</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Sudarant biudžeto vykdymo ataskaitų rinkinį, vadovaujamasi šiais bendraisiais apskaitos principais:</w:t>
      </w:r>
    </w:p>
    <w:p w:rsidR="001D69BA" w:rsidRDefault="001D69BA" w:rsidP="001D69BA">
      <w:pPr>
        <w:widowControl/>
        <w:numPr>
          <w:ilvl w:val="1"/>
          <w:numId w:val="7"/>
        </w:numPr>
        <w:tabs>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pinigų; </w:t>
      </w:r>
    </w:p>
    <w:p w:rsidR="001D69BA" w:rsidRDefault="001D69BA" w:rsidP="001D69BA">
      <w:pPr>
        <w:widowControl/>
        <w:numPr>
          <w:ilvl w:val="1"/>
          <w:numId w:val="7"/>
        </w:numPr>
        <w:tabs>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subjekto; </w:t>
      </w:r>
    </w:p>
    <w:p w:rsidR="001D69BA" w:rsidRDefault="001D69BA" w:rsidP="001D69BA">
      <w:pPr>
        <w:widowControl/>
        <w:numPr>
          <w:ilvl w:val="1"/>
          <w:numId w:val="7"/>
        </w:numPr>
        <w:tabs>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periodiškumo; </w:t>
      </w:r>
    </w:p>
    <w:p w:rsidR="001D69BA" w:rsidRDefault="001D69BA" w:rsidP="001D69BA">
      <w:pPr>
        <w:widowControl/>
        <w:numPr>
          <w:ilvl w:val="1"/>
          <w:numId w:val="7"/>
        </w:numPr>
        <w:tabs>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pastovumo; </w:t>
      </w:r>
    </w:p>
    <w:p w:rsidR="001D69BA" w:rsidRDefault="001D69BA" w:rsidP="001D69BA">
      <w:pPr>
        <w:widowControl/>
        <w:numPr>
          <w:ilvl w:val="1"/>
          <w:numId w:val="7"/>
        </w:numPr>
        <w:tabs>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piniginio mato.</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Pagal subjekto principą Šiaulių miesto savivaldybės Apskaitos centras ir įstaigos, kurių buhalterinė apskaita yra tvarkoma centralizuotai Apskaitos centro, yra laikomi atskiru apskaitos </w:t>
      </w:r>
      <w:r>
        <w:rPr>
          <w:rFonts w:ascii="Times New Roman" w:hAnsi="Times New Roman" w:cs="Times New Roman"/>
        </w:rPr>
        <w:lastRenderedPageBreak/>
        <w:t xml:space="preserve">vienetu: atskirai tvarko apskaitą, sudaro ir teikia atskirus finansinių ataskaitų ir biudžeto vykdymo ataskaitų rinkinius. Šiaulių miesto savivaldybės Apskaitos centro ir įstaigų, kurių buhalterinė apskaita yra tvarkoma centralizuotai Apskaitos centro, apskaitoje registruojamas įstaigų nuosavas, patikėjimo teise valdomas, naudojamas ir disponuojamas valstybės turtas, finansavimo sumos ir įsipareigojimai, pajamos ir sąnaudos. Turtas, valdomas ir naudojamas kitomis teisėmis (pavyzdžiui, panaudos, nuomos), registruojamas nebalansinėse sąskaitose. </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Šiaulių miesto savivaldybės Apskaitos centrui ir įstaigoms, kurių buhalterinė apskaita yra tvarkoma centralizuotai Apskaitos centro, leidžiamas vykdyti ūkines operacijas nustato teisės aktai. VSAFAS nustato faktiškai įvykusių ūkinių operacijų registravimo apskaitoje metodus ir taisykles. Pagal turinio viršenybės prieš formą principą apskaitoje ūkiniai įvykiai ir ūkinės operacijos vertinami ir pripažįstami pagal jų ekonominę prasmę ir turinį, nepriklausomai nuo to, ar tokią ūkinę operaciją vykdyti ir (arba) sandorį sudaryti leidžia Šiaulių miesto savivaldybės Apskaitos centro ir įstaigų, kurių buhalterinė apskaita yra tvarkoma centralizuotai Apskaitos centro, veiklą reglamentuojantys teisės aktai. </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color w:val="FF0000"/>
        </w:rPr>
      </w:pPr>
      <w:r>
        <w:rPr>
          <w:rFonts w:ascii="Times New Roman" w:hAnsi="Times New Roman" w:cs="Times New Roman"/>
        </w:rPr>
        <w:t xml:space="preserve">Visos ūkinės operacijos ir įvykiai registruojami sąskaitų plano sąskaitose taikant apskaitos politiką, parengtą pagal VSAFAS reikalavimus (nurodytus principus, metodus ir taisykles) atskiroms ūkinėms operacijoms ir įvykiams, finansinių ataskaitų elementams arba straipsniams ir apskaitos procedūroms. Šiaulių miesto savivaldybės Apskaitos centras ir įstaigos, kurių buhalterinė apskaita yra tvarkoma centralizuotai Apskaitos centro. </w:t>
      </w:r>
    </w:p>
    <w:p w:rsidR="001D69BA" w:rsidRDefault="001D69BA" w:rsidP="001D69BA">
      <w:pPr>
        <w:pStyle w:val="Antrat1"/>
        <w:numPr>
          <w:ilvl w:val="0"/>
          <w:numId w:val="6"/>
        </w:numPr>
        <w:tabs>
          <w:tab w:val="num" w:pos="360"/>
        </w:tabs>
        <w:suppressAutoHyphens/>
        <w:spacing w:before="240" w:after="60"/>
        <w:ind w:left="0" w:firstLine="0"/>
        <w:rPr>
          <w:bCs/>
          <w:szCs w:val="24"/>
        </w:rPr>
      </w:pPr>
      <w:bookmarkStart w:id="4" w:name="_Toc333413249"/>
      <w:r>
        <w:rPr>
          <w:bCs/>
          <w:szCs w:val="24"/>
        </w:rPr>
        <w:t>Nematerialusis turtas</w:t>
      </w:r>
      <w:bookmarkEnd w:id="4"/>
    </w:p>
    <w:p w:rsidR="001D69BA" w:rsidRDefault="001D69BA" w:rsidP="001D69BA">
      <w:pPr>
        <w:tabs>
          <w:tab w:val="left" w:pos="1701"/>
          <w:tab w:val="left" w:pos="2552"/>
        </w:tabs>
        <w:autoSpaceDE w:val="0"/>
        <w:spacing w:before="25" w:after="25"/>
        <w:ind w:firstLine="851"/>
        <w:jc w:val="both"/>
        <w:rPr>
          <w:rFonts w:ascii="Times New Roman" w:hAnsi="Times New Roman" w:cs="Times New Roman"/>
          <w:b/>
          <w:bCs/>
        </w:rPr>
      </w:pP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Nematerialiojo turto apskaitos politika parengta vadovaujantis 13-ajame  apskaitos ir finansinės atskaitomybės standarte „Nematerialusis turtas“ (toliau – 13-asis VSAFAS), o nematerialiojo turto nuvertėjimo apskaičiavimo ir apskaitos metodai bei taisyklės – 22-ajame viešojo sektoriaus apskaitos ir finansinės atskaitomybės standarte „Turto nuvertėjimas“, (toliau – 22-asis VSAFAS) nustatyta tvarka.</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Nematerialusis turtas yra pripažįstamas, jei atitinka 13-ajame VSAFAS pateiktą sąvoką ir nematerialiajam turtui nustatytus kriterijus.</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Nematerialusis turtas pirminio pripažinimo metu apskaitoje yra registruojamas įsigijimo savikaina. Išlaidos, patirtos po pirkto ar susikurto nematerialiojo turto pirminio pripažinimo, didina nematerialiojo turto įsigijimo savikainą tik tais atvejais, kai galima patikimai nustatyti, kad patobulintas nematerialusis turtas teiks didesnę ekonominę naudą, t. y., kad atliktas esminis nematerialiojo turto pagerinimas.</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Išankstiniai apmokėjimai už nematerialųjį turtą apskaitoje registruojami nematerialiojo turto sąskaitose.</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Po pirminio pripažinimo nematerialusis turtas, kurio naudingo tarnavimo laikas ribotas, finansinėse ataskaitose yra parodomas įsigijimo savikaina, atėmus sukauptą amortizaciją ir nuvertėjimą, jei jis yra.</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Nematerialiojo turto amortizuojamoji vertė yra nuosekliai paskirstoma per visą nustatytą turto naudingo tarnavimo laiką tiesiogiai proporcingu metodu. Tam tikro nematerialiojo turto vieneto amortizacija pradedama skaičiuoti nuo kito mėnesio, kai turtas pradedamas naudoti, </w:t>
      </w:r>
      <w:r>
        <w:rPr>
          <w:rFonts w:ascii="Times New Roman" w:hAnsi="Times New Roman" w:cs="Times New Roman"/>
        </w:rPr>
        <w:lastRenderedPageBreak/>
        <w:t>pirmos dienos ir nebeskaičiuojama nuo kito mėnesio, kai naudojamo nematerialiojo turto likutinė vertė sutampa su jo likvidacine verte, kai turtas perleidžiamas, nurašomas arba kai apskaičiuojamas ir užregistruojamas to turto vieneto nuvertėjimas, lygus jo likutinės vertės sumai, pirmos dienos.</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Nematerialiojo turto naudingo tarnavimo laikas, nustatomas atsižvelgiant į sutartis ar kitus sandorius, neturi būti ilgesnis už šių sandorių galiojimo laikotarpį. Kitam nematerialiajam turtui taikomas nematerialiojo turto amortizacijos normatyvus, patvirtintus Šiaulių miesto savivaldybės tarybos (1 lentelė). </w:t>
      </w:r>
    </w:p>
    <w:p w:rsidR="001D69BA" w:rsidRDefault="001D69BA" w:rsidP="001D69BA">
      <w:pPr>
        <w:tabs>
          <w:tab w:val="left" w:pos="1701"/>
          <w:tab w:val="left" w:pos="2552"/>
        </w:tabs>
        <w:spacing w:before="25" w:after="25" w:line="300" w:lineRule="auto"/>
        <w:ind w:left="360"/>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lentelė</w:t>
      </w:r>
    </w:p>
    <w:p w:rsidR="001D69BA" w:rsidRDefault="001D69BA" w:rsidP="001D69BA">
      <w:pPr>
        <w:tabs>
          <w:tab w:val="left" w:pos="1701"/>
          <w:tab w:val="left" w:pos="2552"/>
        </w:tabs>
        <w:spacing w:before="25" w:after="25" w:line="300" w:lineRule="auto"/>
        <w:ind w:left="360"/>
        <w:jc w:val="center"/>
        <w:rPr>
          <w:rFonts w:ascii="Times New Roman" w:hAnsi="Times New Roman" w:cs="Times New Roman"/>
        </w:rPr>
      </w:pPr>
      <w:r>
        <w:rPr>
          <w:rFonts w:ascii="Times New Roman" w:hAnsi="Times New Roman" w:cs="Times New Roman"/>
        </w:rPr>
        <w:t>Ilgalaikio nematerialiojo turto nusidėvėjimo (amortizacijos) normatyvai</w:t>
      </w:r>
    </w:p>
    <w:tbl>
      <w:tblPr>
        <w:tblW w:w="95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737"/>
        <w:gridCol w:w="2124"/>
      </w:tblGrid>
      <w:tr w:rsidR="001D69BA" w:rsidTr="005A6242">
        <w:trPr>
          <w:trHeight w:val="23"/>
          <w:tblHeader/>
        </w:trPr>
        <w:tc>
          <w:tcPr>
            <w:tcW w:w="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1D69BA" w:rsidRDefault="001D69BA" w:rsidP="005A6242">
            <w:pPr>
              <w:tabs>
                <w:tab w:val="left" w:pos="720"/>
              </w:tabs>
              <w:jc w:val="center"/>
              <w:rPr>
                <w:rFonts w:ascii="Times New Roman" w:hAnsi="Times New Roman" w:cs="Times New Roman"/>
              </w:rPr>
            </w:pPr>
            <w:proofErr w:type="spellStart"/>
            <w:r>
              <w:rPr>
                <w:rFonts w:ascii="Times New Roman" w:hAnsi="Times New Roman" w:cs="Times New Roman"/>
              </w:rPr>
              <w:t>Eil</w:t>
            </w:r>
            <w:proofErr w:type="spellEnd"/>
            <w:r>
              <w:rPr>
                <w:rFonts w:ascii="Times New Roman" w:hAnsi="Times New Roman" w:cs="Times New Roman"/>
              </w:rPr>
              <w:t xml:space="preserve">. </w:t>
            </w:r>
            <w:proofErr w:type="spellStart"/>
            <w:r>
              <w:rPr>
                <w:rFonts w:ascii="Times New Roman" w:hAnsi="Times New Roman" w:cs="Times New Roman"/>
              </w:rPr>
              <w:t>Nr</w:t>
            </w:r>
            <w:proofErr w:type="spellEnd"/>
            <w:r>
              <w:rPr>
                <w:rFonts w:ascii="Times New Roman" w:hAnsi="Times New Roman" w:cs="Times New Roman"/>
              </w:rPr>
              <w:t>.</w:t>
            </w:r>
          </w:p>
        </w:tc>
        <w:tc>
          <w:tcPr>
            <w:tcW w:w="67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Ilgalaikio turto grupės ir rūšys</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Turto nusidėvėjimo (amortizacijos) normatyvai (metais)</w:t>
            </w:r>
          </w:p>
        </w:tc>
      </w:tr>
      <w:tr w:rsidR="001D69BA" w:rsidTr="005A6242">
        <w:trPr>
          <w:trHeight w:val="23"/>
        </w:trPr>
        <w:tc>
          <w:tcPr>
            <w:tcW w:w="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D69BA" w:rsidRDefault="001D69BA" w:rsidP="005A6242">
            <w:pPr>
              <w:tabs>
                <w:tab w:val="left" w:pos="720"/>
              </w:tabs>
              <w:jc w:val="center"/>
              <w:rPr>
                <w:rFonts w:ascii="Times New Roman" w:hAnsi="Times New Roman" w:cs="Times New Roman"/>
              </w:rPr>
            </w:pPr>
          </w:p>
        </w:tc>
        <w:tc>
          <w:tcPr>
            <w:tcW w:w="67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rPr>
                <w:rFonts w:ascii="Times New Roman" w:hAnsi="Times New Roman" w:cs="Times New Roman"/>
              </w:rPr>
            </w:pPr>
            <w:r>
              <w:rPr>
                <w:rFonts w:ascii="Times New Roman" w:hAnsi="Times New Roman" w:cs="Times New Roman"/>
              </w:rPr>
              <w:t>NEMATERIALUSIS TURTAS</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D69BA" w:rsidRDefault="001D69BA" w:rsidP="005A6242">
            <w:pPr>
              <w:tabs>
                <w:tab w:val="left" w:pos="720"/>
              </w:tabs>
              <w:jc w:val="center"/>
              <w:rPr>
                <w:rFonts w:ascii="Times New Roman" w:hAnsi="Times New Roman" w:cs="Times New Roman"/>
              </w:rPr>
            </w:pPr>
          </w:p>
        </w:tc>
      </w:tr>
      <w:tr w:rsidR="001D69BA" w:rsidTr="005A6242">
        <w:trPr>
          <w:trHeight w:val="23"/>
        </w:trPr>
        <w:tc>
          <w:tcPr>
            <w:tcW w:w="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1.</w:t>
            </w:r>
          </w:p>
        </w:tc>
        <w:tc>
          <w:tcPr>
            <w:tcW w:w="67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441"/>
              </w:tabs>
              <w:ind w:firstLine="261"/>
              <w:rPr>
                <w:rFonts w:ascii="Times New Roman" w:hAnsi="Times New Roman" w:cs="Times New Roman"/>
              </w:rPr>
            </w:pPr>
            <w:r>
              <w:rPr>
                <w:rFonts w:ascii="Times New Roman" w:hAnsi="Times New Roman" w:cs="Times New Roman"/>
              </w:rPr>
              <w:t>Programinė įranga, jos licencijos ir techninė dokumentacija</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1</w:t>
            </w:r>
          </w:p>
        </w:tc>
      </w:tr>
      <w:tr w:rsidR="001D69BA" w:rsidTr="005A6242">
        <w:trPr>
          <w:trHeight w:val="23"/>
        </w:trPr>
        <w:tc>
          <w:tcPr>
            <w:tcW w:w="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2.</w:t>
            </w:r>
          </w:p>
        </w:tc>
        <w:tc>
          <w:tcPr>
            <w:tcW w:w="67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441"/>
              </w:tabs>
              <w:ind w:firstLine="261"/>
              <w:rPr>
                <w:rFonts w:ascii="Times New Roman" w:hAnsi="Times New Roman" w:cs="Times New Roman"/>
              </w:rPr>
            </w:pPr>
            <w:r>
              <w:rPr>
                <w:rFonts w:ascii="Times New Roman" w:hAnsi="Times New Roman" w:cs="Times New Roman"/>
              </w:rPr>
              <w:t>Patentai, išradimai, licencijos, įsigytos kitos teisės*</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4</w:t>
            </w:r>
          </w:p>
        </w:tc>
      </w:tr>
      <w:tr w:rsidR="001D69BA" w:rsidTr="005A6242">
        <w:trPr>
          <w:trHeight w:val="23"/>
        </w:trPr>
        <w:tc>
          <w:tcPr>
            <w:tcW w:w="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3.</w:t>
            </w:r>
          </w:p>
        </w:tc>
        <w:tc>
          <w:tcPr>
            <w:tcW w:w="67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firstLine="261"/>
              <w:rPr>
                <w:rFonts w:ascii="Times New Roman" w:hAnsi="Times New Roman" w:cs="Times New Roman"/>
              </w:rPr>
            </w:pPr>
            <w:r>
              <w:rPr>
                <w:rFonts w:ascii="Times New Roman" w:hAnsi="Times New Roman" w:cs="Times New Roman"/>
              </w:rPr>
              <w:t>Kitas nematerialusis turtas</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2</w:t>
            </w:r>
          </w:p>
        </w:tc>
      </w:tr>
      <w:tr w:rsidR="001D69BA" w:rsidTr="005A6242">
        <w:trPr>
          <w:trHeight w:val="23"/>
        </w:trPr>
        <w:tc>
          <w:tcPr>
            <w:tcW w:w="7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4.</w:t>
            </w:r>
          </w:p>
        </w:tc>
        <w:tc>
          <w:tcPr>
            <w:tcW w:w="67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firstLine="261"/>
              <w:rPr>
                <w:rFonts w:ascii="Times New Roman" w:hAnsi="Times New Roman" w:cs="Times New Roman"/>
              </w:rPr>
            </w:pPr>
            <w:r>
              <w:rPr>
                <w:rFonts w:ascii="Times New Roman" w:hAnsi="Times New Roman" w:cs="Times New Roman"/>
              </w:rPr>
              <w:t>Prestižas</w:t>
            </w:r>
          </w:p>
        </w:tc>
        <w:tc>
          <w:tcPr>
            <w:tcW w:w="21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5</w:t>
            </w:r>
          </w:p>
        </w:tc>
      </w:tr>
    </w:tbl>
    <w:p w:rsidR="001D69BA" w:rsidRDefault="001D69BA" w:rsidP="001D69BA">
      <w:pPr>
        <w:tabs>
          <w:tab w:val="left" w:pos="1134"/>
          <w:tab w:val="left" w:pos="2552"/>
        </w:tabs>
        <w:autoSpaceDE w:val="0"/>
        <w:spacing w:before="25" w:after="25" w:line="300" w:lineRule="auto"/>
        <w:jc w:val="both"/>
        <w:rPr>
          <w:rFonts w:ascii="Times New Roman" w:hAnsi="Times New Roman" w:cs="Times New Roman"/>
        </w:rPr>
      </w:pP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Detaliau nematerialiojo turto apskaitos tvarka ir procedūros nustatytos Nematerialiojo turto apskaitos tvarkos apraše.</w:t>
      </w:r>
    </w:p>
    <w:p w:rsidR="001D69BA" w:rsidRDefault="001D69BA" w:rsidP="001D69BA">
      <w:pPr>
        <w:pStyle w:val="Antrat1"/>
        <w:numPr>
          <w:ilvl w:val="0"/>
          <w:numId w:val="6"/>
        </w:numPr>
        <w:tabs>
          <w:tab w:val="num" w:pos="360"/>
        </w:tabs>
        <w:suppressAutoHyphens/>
        <w:spacing w:before="240" w:after="60"/>
        <w:ind w:left="0" w:firstLine="0"/>
        <w:rPr>
          <w:bCs/>
          <w:szCs w:val="24"/>
        </w:rPr>
      </w:pPr>
      <w:bookmarkStart w:id="5" w:name="_Toc333413250"/>
      <w:r>
        <w:rPr>
          <w:bCs/>
          <w:szCs w:val="24"/>
        </w:rPr>
        <w:t>Ilgalaikis materialusis turtas</w:t>
      </w:r>
      <w:bookmarkEnd w:id="5"/>
    </w:p>
    <w:p w:rsidR="001D69BA" w:rsidRDefault="001D69BA" w:rsidP="001D69BA">
      <w:pPr>
        <w:tabs>
          <w:tab w:val="left" w:pos="1134"/>
          <w:tab w:val="left" w:pos="1701"/>
          <w:tab w:val="left" w:pos="2552"/>
        </w:tabs>
        <w:autoSpaceDE w:val="0"/>
        <w:spacing w:before="25" w:after="25"/>
        <w:ind w:firstLine="709"/>
        <w:jc w:val="center"/>
        <w:rPr>
          <w:rFonts w:ascii="Times New Roman" w:hAnsi="Times New Roman" w:cs="Times New Roman"/>
          <w:b/>
          <w:bCs/>
        </w:rPr>
      </w:pP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Ilgalaikio materialiojo turto apskaitos politika parengta vadovaujantis 12-ajame viešojo sektoriaus apskaitos ir finansinės atskaitomybės standarte „Ilgalaikis materialusis turtas“, (toliau – 12-asis VSAFAS), o ilgalaikio materialiojo turto nuvertėjimo apskaičiavimo ir apskaitos metodai bei taisyklės – 22-ajame VSAFAS nustatyta tvarka.</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Ilgalaikis materialusis turtas pripažįstamas ir registruojamas apskaitoje, jei jis atitinka ilgalaikio materialiojo turto sąvoką ir VSAFAS nustatytus ilgalaikio materialiojo turto pripažinimo kriterijus.</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Ilgalaikis materialusis turtas pagal pobūdį skirstomas į pagrindines grupes, nustatytas VSAFAS. </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Įsigytas ilgalaikis materialusis turtas pirminio pripažinimo momentu apskaitoje registruojamas įsigijimo savikaina.</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Išankstiniai apmokėjimai už ilgalaikį materialųjį turtą apskaitoje registruojami tam skirtose ilgalaikio materialiojo turto sąskaitose.</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Po pirminio pripažinimo ilgalaikis materialusis turtas, išskyrus žemę ir kultūros vertybes, finansinėse ataskaitose rodomas įsigijimo savikaina, atėmus sukauptą nusidėvėjimą ir nuvertėjimą, jei jis yra. Žemė ir kultūros vertybės po pirminio pripažinimo finansinėse ataskaitose rodomos tikrąja verte. </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Ilgalaikio materialiojo turto nudėvimoji vertė yra nuosekliai paskirstoma per visą turto naudingo tarnavimo laiką. Ilgalaikio materialiojo turto vieneto nusidėvėjimas pradedamas skaičiuoti </w:t>
      </w:r>
      <w:r>
        <w:rPr>
          <w:rFonts w:ascii="Times New Roman" w:hAnsi="Times New Roman" w:cs="Times New Roman"/>
        </w:rPr>
        <w:lastRenderedPageBreak/>
        <w:t>nuo kito mėnesio, kai turtas pradedamas naudoti, pirmos dienos. Nusidėvėjimas nebeskaičiuojamas nuo kito mėnesio, kai naudojamo ilgalaikio materialiojo turto likutinė vertė sutampa su jo likvidacine verte, kai turtas perleidžiamas, nurašomas arba kai apskaičiuojamas ir užregistruojamas to turto vieneto nuvertėjimas, lygus jo likutinės vertės sumai, pirmos dienos.</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Ilgalaikio materialiojo turto nusidėvėjimas skaičiuojamas taikant tiesiogiai proporcingą (tiesinį) metodą pagal Šiaulių miesto savivaldybės tarybos patvirtintus ilgalaikio materialiojo turto nusidėvėjimo normatyvus (2 lentelė).</w:t>
      </w:r>
    </w:p>
    <w:p w:rsidR="001D69BA" w:rsidRDefault="001D69BA" w:rsidP="001D69BA">
      <w:pPr>
        <w:tabs>
          <w:tab w:val="left" w:pos="1701"/>
          <w:tab w:val="left" w:pos="2552"/>
        </w:tabs>
        <w:spacing w:before="25" w:after="25" w:line="300" w:lineRule="auto"/>
        <w:ind w:left="360"/>
        <w:jc w:val="right"/>
        <w:rPr>
          <w:rFonts w:ascii="Times New Roman" w:hAnsi="Times New Roman" w:cs="Times New Roman"/>
        </w:rPr>
      </w:pPr>
      <w:r>
        <w:rPr>
          <w:rFonts w:ascii="Times New Roman" w:hAnsi="Times New Roman" w:cs="Times New Roman"/>
        </w:rPr>
        <w:t>2 lentelė</w:t>
      </w:r>
    </w:p>
    <w:p w:rsidR="001D69BA" w:rsidRDefault="001D69BA" w:rsidP="001D69BA">
      <w:pPr>
        <w:tabs>
          <w:tab w:val="left" w:pos="1701"/>
          <w:tab w:val="left" w:pos="2552"/>
        </w:tabs>
        <w:spacing w:before="25" w:after="25" w:line="300" w:lineRule="auto"/>
        <w:ind w:left="360"/>
        <w:jc w:val="center"/>
        <w:rPr>
          <w:rFonts w:ascii="Times New Roman" w:hAnsi="Times New Roman" w:cs="Times New Roman"/>
        </w:rPr>
      </w:pPr>
      <w:r>
        <w:rPr>
          <w:rFonts w:ascii="Times New Roman" w:hAnsi="Times New Roman" w:cs="Times New Roman"/>
        </w:rPr>
        <w:t>Ilgalaikio materialiojo turto nusidėvėjimo (amortizacijos) normatyvai</w:t>
      </w:r>
    </w:p>
    <w:tbl>
      <w:tblPr>
        <w:tblW w:w="95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6657"/>
        <w:gridCol w:w="2124"/>
      </w:tblGrid>
      <w:tr w:rsidR="001D69BA" w:rsidTr="005A6242">
        <w:trPr>
          <w:trHeight w:val="23"/>
          <w:tblHeader/>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1D69BA" w:rsidRDefault="001D69BA" w:rsidP="005A6242">
            <w:pPr>
              <w:tabs>
                <w:tab w:val="left" w:pos="720"/>
              </w:tabs>
              <w:jc w:val="center"/>
              <w:rPr>
                <w:rFonts w:ascii="Times New Roman" w:hAnsi="Times New Roman" w:cs="Times New Roman"/>
              </w:rPr>
            </w:pPr>
            <w:proofErr w:type="spellStart"/>
            <w:r>
              <w:rPr>
                <w:rFonts w:ascii="Times New Roman" w:hAnsi="Times New Roman" w:cs="Times New Roman"/>
              </w:rPr>
              <w:t>Eil</w:t>
            </w:r>
            <w:proofErr w:type="spellEnd"/>
            <w:r>
              <w:rPr>
                <w:rFonts w:ascii="Times New Roman" w:hAnsi="Times New Roman" w:cs="Times New Roman"/>
              </w:rPr>
              <w:t xml:space="preserve">. </w:t>
            </w:r>
            <w:proofErr w:type="spellStart"/>
            <w:r>
              <w:rPr>
                <w:rFonts w:ascii="Times New Roman" w:hAnsi="Times New Roman" w:cs="Times New Roman"/>
              </w:rPr>
              <w:t>Nr</w:t>
            </w:r>
            <w:proofErr w:type="spellEnd"/>
            <w:r>
              <w:rPr>
                <w:rFonts w:ascii="Times New Roman" w:hAnsi="Times New Roman" w:cs="Times New Roman"/>
              </w:rPr>
              <w:t>.</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Ilgalaikio turto grupės ir rūšys</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Turto nusidėvėjimo (amortizacijos) normatyvai (metais)</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D69BA" w:rsidRDefault="001D69BA" w:rsidP="005A6242">
            <w:pPr>
              <w:tabs>
                <w:tab w:val="left" w:pos="720"/>
              </w:tabs>
              <w:jc w:val="center"/>
              <w:rPr>
                <w:rFonts w:ascii="Times New Roman" w:hAnsi="Times New Roman" w:cs="Times New Roman"/>
              </w:rPr>
            </w:pP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rPr>
                <w:rFonts w:ascii="Times New Roman" w:hAnsi="Times New Roman" w:cs="Times New Roman"/>
              </w:rPr>
            </w:pPr>
            <w:r>
              <w:rPr>
                <w:rFonts w:ascii="Times New Roman" w:hAnsi="Times New Roman" w:cs="Times New Roman"/>
              </w:rPr>
              <w:t>MATERIALUSIS TURTAS</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D69BA" w:rsidRDefault="001D69BA" w:rsidP="005A6242">
            <w:pPr>
              <w:tabs>
                <w:tab w:val="left" w:pos="720"/>
              </w:tabs>
              <w:jc w:val="center"/>
              <w:rPr>
                <w:rFonts w:ascii="Times New Roman" w:hAnsi="Times New Roman" w:cs="Times New Roman"/>
              </w:rPr>
            </w:pP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5.</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firstLine="261"/>
              <w:rPr>
                <w:rFonts w:ascii="Times New Roman" w:hAnsi="Times New Roman" w:cs="Times New Roman"/>
                <w:b/>
                <w:bCs/>
              </w:rPr>
            </w:pPr>
            <w:r>
              <w:rPr>
                <w:rFonts w:ascii="Times New Roman" w:hAnsi="Times New Roman" w:cs="Times New Roman"/>
                <w:b/>
                <w:bCs/>
              </w:rPr>
              <w:t>Pastatai</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D69BA" w:rsidRDefault="001D69BA" w:rsidP="005A6242">
            <w:pPr>
              <w:tabs>
                <w:tab w:val="left" w:pos="720"/>
              </w:tabs>
              <w:jc w:val="center"/>
              <w:rPr>
                <w:rFonts w:ascii="Times New Roman" w:hAnsi="Times New Roman" w:cs="Times New Roman"/>
              </w:rPr>
            </w:pP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5.1.</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 xml:space="preserve">Kapitaliniai mūriniai pastatai (sienos </w:t>
            </w:r>
            <w:r>
              <w:rPr>
                <w:rFonts w:ascii="Times New Roman" w:hAnsi="Times New Roman" w:cs="Times New Roman"/>
                <w:spacing w:val="-2"/>
              </w:rPr>
              <w:t xml:space="preserve">– </w:t>
            </w:r>
            <w:r>
              <w:rPr>
                <w:rFonts w:ascii="Times New Roman" w:hAnsi="Times New Roman" w:cs="Times New Roman"/>
              </w:rPr>
              <w:t>2,5 ir daugiau plytų storio, gelžbetonio; perdangos ir denginiai – gelžbetoniniai ir betoniniai), monolitinio gelžbetonio pastatai, stambių blokų (perdangos ir denginiai – gelžbetoniniai) pastatai</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120</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5.2.</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spacing w:val="-2"/>
              </w:rPr>
              <w:t>Pastatai (sienos – iki 2,5 plytos storio, blokų, monolitinio šlako, betono, lengvų šlako blokų, perdangos ir denginiai</w:t>
            </w:r>
            <w:r>
              <w:rPr>
                <w:rFonts w:ascii="Times New Roman" w:hAnsi="Times New Roman" w:cs="Times New Roman"/>
              </w:rPr>
              <w:t xml:space="preserve"> – gelžbetoniniai, betoniniai arba mediniai)</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90</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5.3.</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Tašytų rąstų pastatai</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40</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5.4.</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Surenkamieji, išardomieji, moliniai ir kiti pastatai</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12</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6.</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firstLine="261"/>
              <w:rPr>
                <w:rFonts w:ascii="Times New Roman" w:hAnsi="Times New Roman" w:cs="Times New Roman"/>
                <w:b/>
                <w:bCs/>
              </w:rPr>
            </w:pPr>
            <w:r>
              <w:rPr>
                <w:rFonts w:ascii="Times New Roman" w:hAnsi="Times New Roman" w:cs="Times New Roman"/>
                <w:b/>
                <w:bCs/>
              </w:rPr>
              <w:t>Infrastruktūros ir kiti statiniai</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D69BA" w:rsidRDefault="001D69BA" w:rsidP="005A6242">
            <w:pPr>
              <w:tabs>
                <w:tab w:val="left" w:pos="720"/>
              </w:tabs>
              <w:jc w:val="center"/>
              <w:rPr>
                <w:rFonts w:ascii="Times New Roman" w:hAnsi="Times New Roman" w:cs="Times New Roman"/>
              </w:rPr>
            </w:pP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6.1.</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firstLine="261"/>
              <w:rPr>
                <w:rFonts w:ascii="Times New Roman" w:hAnsi="Times New Roman" w:cs="Times New Roman"/>
              </w:rPr>
            </w:pPr>
            <w:r>
              <w:rPr>
                <w:rFonts w:ascii="Times New Roman" w:hAnsi="Times New Roman" w:cs="Times New Roman"/>
              </w:rPr>
              <w:t>Infrastruktūros, melioracijos ir kiti statiniai</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D69BA" w:rsidRDefault="001D69BA" w:rsidP="005A6242">
            <w:pPr>
              <w:tabs>
                <w:tab w:val="left" w:pos="720"/>
              </w:tabs>
              <w:jc w:val="center"/>
              <w:rPr>
                <w:rFonts w:ascii="Times New Roman" w:hAnsi="Times New Roman" w:cs="Times New Roman"/>
              </w:rPr>
            </w:pP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6.1.1.</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firstLine="261"/>
              <w:rPr>
                <w:rFonts w:ascii="Times New Roman" w:hAnsi="Times New Roman" w:cs="Times New Roman"/>
              </w:rPr>
            </w:pPr>
            <w:r>
              <w:rPr>
                <w:rFonts w:ascii="Times New Roman" w:hAnsi="Times New Roman" w:cs="Times New Roman"/>
              </w:rPr>
              <w:t xml:space="preserve">   Betoniniai, gelžbetoniniai, akmens</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80</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6.1.2.</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firstLine="261"/>
              <w:rPr>
                <w:rFonts w:ascii="Times New Roman" w:hAnsi="Times New Roman" w:cs="Times New Roman"/>
              </w:rPr>
            </w:pPr>
            <w:r>
              <w:rPr>
                <w:rFonts w:ascii="Times New Roman" w:hAnsi="Times New Roman" w:cs="Times New Roman"/>
              </w:rPr>
              <w:t xml:space="preserve">   Metaliniai</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40</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6.1.3.</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firstLine="261"/>
              <w:rPr>
                <w:rFonts w:ascii="Times New Roman" w:hAnsi="Times New Roman" w:cs="Times New Roman"/>
              </w:rPr>
            </w:pPr>
            <w:r>
              <w:rPr>
                <w:rFonts w:ascii="Times New Roman" w:hAnsi="Times New Roman" w:cs="Times New Roman"/>
              </w:rPr>
              <w:t xml:space="preserve">   Mediniai</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15</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6.1.4.</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firstLine="261"/>
              <w:rPr>
                <w:rFonts w:ascii="Times New Roman" w:hAnsi="Times New Roman" w:cs="Times New Roman"/>
              </w:rPr>
            </w:pPr>
            <w:r>
              <w:rPr>
                <w:rFonts w:ascii="Times New Roman" w:hAnsi="Times New Roman" w:cs="Times New Roman"/>
              </w:rPr>
              <w:t xml:space="preserve">   Konteinerių aikštelės</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15</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6.1.5.</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firstLine="261"/>
              <w:rPr>
                <w:rFonts w:ascii="Times New Roman" w:hAnsi="Times New Roman" w:cs="Times New Roman"/>
              </w:rPr>
            </w:pPr>
            <w:r>
              <w:rPr>
                <w:rFonts w:ascii="Times New Roman" w:hAnsi="Times New Roman" w:cs="Times New Roman"/>
              </w:rPr>
              <w:t xml:space="preserve">   Gatvės, šaligatviai, automobilių stovėjimo aikštelės, aikštelės, pėsčiųjų takai, atraminės sienutės </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20</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6.1.6.</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firstLine="261"/>
              <w:rPr>
                <w:rFonts w:ascii="Times New Roman" w:hAnsi="Times New Roman" w:cs="Times New Roman"/>
              </w:rPr>
            </w:pPr>
            <w:r>
              <w:rPr>
                <w:rFonts w:ascii="Times New Roman" w:hAnsi="Times New Roman" w:cs="Times New Roman"/>
              </w:rPr>
              <w:t xml:space="preserve">   Gatvių apšvietimo tinklai, šviesoforai</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20</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6.1.7.</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firstLine="261"/>
              <w:rPr>
                <w:rFonts w:ascii="Times New Roman" w:hAnsi="Times New Roman" w:cs="Times New Roman"/>
              </w:rPr>
            </w:pPr>
            <w:r>
              <w:rPr>
                <w:rFonts w:ascii="Times New Roman" w:hAnsi="Times New Roman" w:cs="Times New Roman"/>
              </w:rPr>
              <w:t xml:space="preserve">   Elektros perdavimo oro linijos</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20</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6.1.8.</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firstLine="261"/>
              <w:rPr>
                <w:rFonts w:ascii="Times New Roman" w:hAnsi="Times New Roman" w:cs="Times New Roman"/>
              </w:rPr>
            </w:pPr>
            <w:r>
              <w:rPr>
                <w:rFonts w:ascii="Times New Roman" w:hAnsi="Times New Roman" w:cs="Times New Roman"/>
              </w:rPr>
              <w:t xml:space="preserve">   Kapinių tvoros, kapinių takai</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20</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6.1.9.</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firstLine="261"/>
              <w:rPr>
                <w:rFonts w:ascii="Times New Roman" w:hAnsi="Times New Roman" w:cs="Times New Roman"/>
              </w:rPr>
            </w:pPr>
            <w:r>
              <w:rPr>
                <w:rFonts w:ascii="Times New Roman" w:hAnsi="Times New Roman" w:cs="Times New Roman"/>
              </w:rPr>
              <w:t xml:space="preserve">   Kiti statiniai </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20</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6.1.10.</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D69BA" w:rsidRDefault="001D69BA" w:rsidP="005A6242">
            <w:pPr>
              <w:tabs>
                <w:tab w:val="left" w:pos="720"/>
              </w:tabs>
              <w:ind w:firstLine="261"/>
              <w:rPr>
                <w:rFonts w:ascii="Times New Roman" w:hAnsi="Times New Roman" w:cs="Times New Roman"/>
              </w:rPr>
            </w:pPr>
            <w:r>
              <w:rPr>
                <w:rFonts w:ascii="Times New Roman" w:hAnsi="Times New Roman" w:cs="Times New Roman"/>
              </w:rPr>
              <w:t xml:space="preserve">Lauko statiniai (supynės, žaidimų aikštelės ir </w:t>
            </w:r>
            <w:proofErr w:type="spellStart"/>
            <w:r>
              <w:rPr>
                <w:rFonts w:ascii="Times New Roman" w:hAnsi="Times New Roman" w:cs="Times New Roman"/>
              </w:rPr>
              <w:t>kt</w:t>
            </w:r>
            <w:proofErr w:type="spellEnd"/>
            <w:r>
              <w:rPr>
                <w:rFonts w:ascii="Times New Roman" w:hAnsi="Times New Roman" w:cs="Times New Roman"/>
              </w:rPr>
              <w:t>.)</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5</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6.2.</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firstLine="261"/>
              <w:rPr>
                <w:rFonts w:ascii="Times New Roman" w:hAnsi="Times New Roman" w:cs="Times New Roman"/>
              </w:rPr>
            </w:pPr>
            <w:r>
              <w:rPr>
                <w:rFonts w:ascii="Times New Roman" w:hAnsi="Times New Roman" w:cs="Times New Roman"/>
              </w:rPr>
              <w:t>Melioracijos statiniai</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40</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6.3.</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firstLine="261"/>
              <w:rPr>
                <w:rFonts w:ascii="Times New Roman" w:hAnsi="Times New Roman" w:cs="Times New Roman"/>
              </w:rPr>
            </w:pPr>
            <w:r>
              <w:rPr>
                <w:rFonts w:ascii="Times New Roman" w:hAnsi="Times New Roman" w:cs="Times New Roman"/>
              </w:rPr>
              <w:t>Sporto ir poilsio statiniai</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D69BA" w:rsidRDefault="001D69BA" w:rsidP="005A6242">
            <w:pPr>
              <w:tabs>
                <w:tab w:val="left" w:pos="720"/>
              </w:tabs>
              <w:jc w:val="center"/>
              <w:rPr>
                <w:rFonts w:ascii="Times New Roman" w:hAnsi="Times New Roman" w:cs="Times New Roman"/>
              </w:rPr>
            </w:pP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6.3.1.</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firstLine="261"/>
              <w:rPr>
                <w:rFonts w:ascii="Times New Roman" w:hAnsi="Times New Roman" w:cs="Times New Roman"/>
              </w:rPr>
            </w:pPr>
            <w:r>
              <w:rPr>
                <w:rFonts w:ascii="Times New Roman" w:hAnsi="Times New Roman" w:cs="Times New Roman"/>
              </w:rPr>
              <w:t xml:space="preserve">   Sporto įrenginių, aikščių, aikštelių danga</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20</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6.3.2.</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firstLine="261"/>
              <w:rPr>
                <w:rFonts w:ascii="Times New Roman" w:hAnsi="Times New Roman" w:cs="Times New Roman"/>
              </w:rPr>
            </w:pPr>
            <w:r>
              <w:rPr>
                <w:rFonts w:ascii="Times New Roman" w:hAnsi="Times New Roman" w:cs="Times New Roman"/>
              </w:rPr>
              <w:t xml:space="preserve">   Stadionų tribūnos</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20</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6.3.3.</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firstLine="261"/>
              <w:rPr>
                <w:rFonts w:ascii="Times New Roman" w:hAnsi="Times New Roman" w:cs="Times New Roman"/>
              </w:rPr>
            </w:pPr>
            <w:r>
              <w:rPr>
                <w:rFonts w:ascii="Times New Roman" w:hAnsi="Times New Roman" w:cs="Times New Roman"/>
              </w:rPr>
              <w:t xml:space="preserve">   Fontanai </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20</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6.3.4.</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D69BA" w:rsidRDefault="001D69BA" w:rsidP="005A6242">
            <w:pPr>
              <w:tabs>
                <w:tab w:val="left" w:pos="720"/>
              </w:tabs>
              <w:ind w:left="441" w:firstLine="6"/>
              <w:rPr>
                <w:rFonts w:ascii="Times New Roman" w:hAnsi="Times New Roman" w:cs="Times New Roman"/>
              </w:rPr>
            </w:pPr>
            <w:r>
              <w:rPr>
                <w:rFonts w:ascii="Times New Roman" w:hAnsi="Times New Roman" w:cs="Times New Roman"/>
              </w:rPr>
              <w:t>Žalieji ir grunto statiniai (žemės, smėlio)</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5</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7.</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firstLine="261"/>
              <w:rPr>
                <w:rFonts w:ascii="Times New Roman" w:hAnsi="Times New Roman" w:cs="Times New Roman"/>
                <w:b/>
                <w:bCs/>
              </w:rPr>
            </w:pPr>
            <w:r>
              <w:rPr>
                <w:rFonts w:ascii="Times New Roman" w:hAnsi="Times New Roman" w:cs="Times New Roman"/>
                <w:b/>
                <w:bCs/>
              </w:rPr>
              <w:t>Mašinos ir įrenginiai</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D69BA" w:rsidRDefault="001D69BA" w:rsidP="005A6242">
            <w:pPr>
              <w:tabs>
                <w:tab w:val="left" w:pos="720"/>
              </w:tabs>
              <w:jc w:val="center"/>
              <w:rPr>
                <w:rFonts w:ascii="Times New Roman" w:hAnsi="Times New Roman" w:cs="Times New Roman"/>
              </w:rPr>
            </w:pP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lastRenderedPageBreak/>
              <w:t>7.1.</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Gamybos mašinos ir įrenginiai</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12</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7.2.</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Ginkluotė, ginklai ir karinė technika</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15</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7.3.</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Medicinos įranga</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8</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7.4.</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Apsaugos įranga</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6</w:t>
            </w:r>
          </w:p>
        </w:tc>
      </w:tr>
      <w:tr w:rsidR="001D69BA" w:rsidTr="005A6242">
        <w:trPr>
          <w:cantSplit/>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7.5.</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keepNext/>
              <w:tabs>
                <w:tab w:val="left" w:pos="720"/>
              </w:tabs>
              <w:ind w:left="441"/>
              <w:rPr>
                <w:rFonts w:ascii="Times New Roman" w:hAnsi="Times New Roman" w:cs="Times New Roman"/>
              </w:rPr>
            </w:pPr>
            <w:r>
              <w:rPr>
                <w:rFonts w:ascii="Times New Roman" w:hAnsi="Times New Roman" w:cs="Times New Roman"/>
              </w:rPr>
              <w:t>Filmavimo, fotografavimo, mobiliojo telefono ryšio įrenginiai</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keepNext/>
              <w:tabs>
                <w:tab w:val="left" w:pos="720"/>
              </w:tabs>
              <w:jc w:val="center"/>
              <w:rPr>
                <w:rFonts w:ascii="Times New Roman" w:hAnsi="Times New Roman" w:cs="Times New Roman"/>
              </w:rPr>
            </w:pPr>
            <w:r>
              <w:rPr>
                <w:rFonts w:ascii="Times New Roman" w:hAnsi="Times New Roman" w:cs="Times New Roman"/>
              </w:rPr>
              <w:t>5</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7.6.</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Radijo ir televizijos, informacinių ir ryšių technologijų tinklų valdymo įrenginiai ir įranga</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8</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7.7.</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Kitos mašinos ir įrenginiai</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10</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8.</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firstLine="261"/>
              <w:rPr>
                <w:rFonts w:ascii="Times New Roman" w:hAnsi="Times New Roman" w:cs="Times New Roman"/>
                <w:b/>
                <w:bCs/>
              </w:rPr>
            </w:pPr>
            <w:r>
              <w:rPr>
                <w:rFonts w:ascii="Times New Roman" w:hAnsi="Times New Roman" w:cs="Times New Roman"/>
                <w:b/>
                <w:bCs/>
              </w:rPr>
              <w:t>Transporto priemonės</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D69BA" w:rsidRDefault="001D69BA" w:rsidP="005A6242">
            <w:pPr>
              <w:tabs>
                <w:tab w:val="left" w:pos="720"/>
              </w:tabs>
              <w:jc w:val="center"/>
              <w:rPr>
                <w:rFonts w:ascii="Times New Roman" w:hAnsi="Times New Roman" w:cs="Times New Roman"/>
              </w:rPr>
            </w:pP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8.1.</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Lengvieji automobiliai ir jų priekabos</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6</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8.2.</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Specialieji automobiliai</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7</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8.3.</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Autobusai, krovininiai automobiliai, jų priekabos ir puspriekabės</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7</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8.4.</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Kitos transporto priemonės</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5</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9.</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firstLine="261"/>
              <w:rPr>
                <w:rFonts w:ascii="Times New Roman" w:hAnsi="Times New Roman" w:cs="Times New Roman"/>
                <w:b/>
                <w:bCs/>
              </w:rPr>
            </w:pPr>
            <w:r>
              <w:rPr>
                <w:rFonts w:ascii="Times New Roman" w:hAnsi="Times New Roman" w:cs="Times New Roman"/>
                <w:b/>
                <w:bCs/>
              </w:rPr>
              <w:t>Baldai ir biuro įranga</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D69BA" w:rsidRDefault="001D69BA" w:rsidP="005A6242">
            <w:pPr>
              <w:tabs>
                <w:tab w:val="left" w:pos="720"/>
              </w:tabs>
              <w:jc w:val="center"/>
              <w:rPr>
                <w:rFonts w:ascii="Times New Roman" w:hAnsi="Times New Roman" w:cs="Times New Roman"/>
              </w:rPr>
            </w:pP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9.1.</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Baldai</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12</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9.2.</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Kompiuteriai ir jų įranga</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5</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9.3.</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Kopijavimo ir dokumentų dauginimo priemonės</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7</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9.4.</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Kita biuro įranga</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8</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10.</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firstLine="261"/>
              <w:rPr>
                <w:rFonts w:ascii="Times New Roman" w:hAnsi="Times New Roman" w:cs="Times New Roman"/>
                <w:b/>
                <w:bCs/>
              </w:rPr>
            </w:pPr>
            <w:r>
              <w:rPr>
                <w:rFonts w:ascii="Times New Roman" w:hAnsi="Times New Roman" w:cs="Times New Roman"/>
                <w:b/>
                <w:bCs/>
              </w:rPr>
              <w:t>Kitas ilgalaikis materialusis turtas</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1D69BA" w:rsidRDefault="001D69BA" w:rsidP="005A6242">
            <w:pPr>
              <w:tabs>
                <w:tab w:val="left" w:pos="720"/>
              </w:tabs>
              <w:jc w:val="center"/>
              <w:rPr>
                <w:rFonts w:ascii="Times New Roman" w:hAnsi="Times New Roman" w:cs="Times New Roman"/>
              </w:rPr>
            </w:pP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10.1.</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Scenos meno priemonės</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7</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10.2.</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Muzikos instrumentai</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20</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10.3.</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Elektros aparatūra ir prietaisai</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5</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10.4.</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Sporto ir kitas inventorius</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5</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10.5.</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Informaciniai stendai**</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5</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10.6.</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Skulptūros</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5</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10.7.</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Ūkinis inventorius ir kiti reikmenys</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5</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10.8.</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Specialieji drabužiai ir avalynė</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3</w:t>
            </w:r>
          </w:p>
        </w:tc>
      </w:tr>
      <w:tr w:rsidR="001D69BA" w:rsidTr="005A6242">
        <w:trPr>
          <w:trHeight w:val="23"/>
        </w:trPr>
        <w:tc>
          <w:tcPr>
            <w:tcW w:w="7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10.9.</w:t>
            </w:r>
          </w:p>
        </w:tc>
        <w:tc>
          <w:tcPr>
            <w:tcW w:w="665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ind w:left="441"/>
              <w:rPr>
                <w:rFonts w:ascii="Times New Roman" w:hAnsi="Times New Roman" w:cs="Times New Roman"/>
              </w:rPr>
            </w:pPr>
            <w:r>
              <w:rPr>
                <w:rFonts w:ascii="Times New Roman" w:hAnsi="Times New Roman" w:cs="Times New Roman"/>
              </w:rPr>
              <w:t>Kitas ilgalaikis materialusis turtas</w:t>
            </w:r>
          </w:p>
        </w:tc>
        <w:tc>
          <w:tcPr>
            <w:tcW w:w="21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1D69BA" w:rsidRDefault="001D69BA" w:rsidP="005A6242">
            <w:pPr>
              <w:tabs>
                <w:tab w:val="left" w:pos="720"/>
              </w:tabs>
              <w:jc w:val="center"/>
              <w:rPr>
                <w:rFonts w:ascii="Times New Roman" w:hAnsi="Times New Roman" w:cs="Times New Roman"/>
              </w:rPr>
            </w:pPr>
            <w:r>
              <w:rPr>
                <w:rFonts w:ascii="Times New Roman" w:hAnsi="Times New Roman" w:cs="Times New Roman"/>
              </w:rPr>
              <w:t>10</w:t>
            </w:r>
          </w:p>
        </w:tc>
      </w:tr>
    </w:tbl>
    <w:p w:rsidR="001D69BA" w:rsidRDefault="001D69BA" w:rsidP="001D69BA">
      <w:pPr>
        <w:tabs>
          <w:tab w:val="left" w:pos="1134"/>
          <w:tab w:val="left" w:pos="2552"/>
        </w:tabs>
        <w:autoSpaceDE w:val="0"/>
        <w:spacing w:before="25" w:after="25" w:line="300" w:lineRule="auto"/>
        <w:jc w:val="both"/>
        <w:rPr>
          <w:rFonts w:ascii="Times New Roman" w:hAnsi="Times New Roman" w:cs="Times New Roman"/>
        </w:rPr>
      </w:pP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Kai turtas parduodamas arba nurašomas, jo įsigijimo savikaina, sukauptas nusidėvėjimas ir, jei yra, nuvertėjimas nurašomi. Pardavimo pelnas ar nuostoliai priskiriami kitos veiklos rezultatams. </w:t>
      </w:r>
    </w:p>
    <w:p w:rsidR="001D69BA" w:rsidRDefault="001D69BA" w:rsidP="001D69BA">
      <w:pPr>
        <w:widowControl/>
        <w:numPr>
          <w:ilvl w:val="0"/>
          <w:numId w:val="7"/>
        </w:numPr>
        <w:tabs>
          <w:tab w:val="left" w:pos="1134"/>
          <w:tab w:val="left" w:pos="2552"/>
        </w:tabs>
        <w:autoSpaceDE w:val="0"/>
        <w:autoSpaceDN w:val="0"/>
        <w:adjustRightInd w:val="0"/>
        <w:spacing w:before="25" w:afterLines="25" w:after="60" w:line="300" w:lineRule="auto"/>
        <w:ind w:firstLine="567"/>
        <w:jc w:val="both"/>
        <w:rPr>
          <w:rFonts w:ascii="Times New Roman" w:hAnsi="Times New Roman" w:cs="Times New Roman"/>
        </w:rPr>
      </w:pPr>
      <w:r>
        <w:rPr>
          <w:rFonts w:ascii="Times New Roman" w:hAnsi="Times New Roman" w:cs="Times New Roman"/>
        </w:rPr>
        <w:t>Ilgalaikio materialiojo turto rekonstravimas, remontas ar kiti darbai pripažįstami esminiu turto pagerinimu, jei padidina turto funkcijų apimtį arba pailgina turto naudingo tarnavimo laiką, arba iš esmės pagerina jo naudingąsias savybes. Šių darbų verte didinama ilgalaikio materialiojo turto įsigijimo savikaina ir (arba) patikslinamas likęs turto naudingo tarnavimo laikas. Jei atlikti darbai nepagerina naudingųjų ilgalaikio materialiojo turto savybių ar nepadidina turto funkcijų apimties, arba nepailgina jo naudingo tarnavimo laiko, jie nepripažįstami esminiu pagerinimu, o šių darbų vertė pripažįstama ataskaitinio laikotarpio sąnaudomis.</w:t>
      </w:r>
    </w:p>
    <w:p w:rsidR="001D69BA" w:rsidRDefault="001D69BA" w:rsidP="001D69BA">
      <w:pPr>
        <w:widowControl/>
        <w:numPr>
          <w:ilvl w:val="0"/>
          <w:numId w:val="7"/>
        </w:numPr>
        <w:tabs>
          <w:tab w:val="left" w:pos="1134"/>
          <w:tab w:val="left" w:pos="2552"/>
        </w:tabs>
        <w:autoSpaceDE w:val="0"/>
        <w:autoSpaceDN w:val="0"/>
        <w:adjustRightInd w:val="0"/>
        <w:spacing w:before="25" w:afterLines="25" w:after="60" w:line="300" w:lineRule="auto"/>
        <w:ind w:firstLine="567"/>
        <w:jc w:val="both"/>
        <w:rPr>
          <w:rFonts w:ascii="Times New Roman" w:hAnsi="Times New Roman" w:cs="Times New Roman"/>
        </w:rPr>
      </w:pPr>
      <w:r>
        <w:rPr>
          <w:rFonts w:ascii="Times New Roman" w:hAnsi="Times New Roman" w:cs="Times New Roman"/>
        </w:rPr>
        <w:lastRenderedPageBreak/>
        <w:t xml:space="preserve">Kultūros vertybių konservavimo ir restauravimo bei nekilnojamųjų Kultūros vertybių </w:t>
      </w:r>
      <w:r>
        <w:rPr>
          <w:rFonts w:ascii="Times New Roman" w:hAnsi="Times New Roman" w:cs="Times New Roman"/>
          <w:bCs/>
        </w:rPr>
        <w:t xml:space="preserve">tvarkomųjų paveldosaugos </w:t>
      </w:r>
      <w:r>
        <w:rPr>
          <w:rFonts w:ascii="Times New Roman" w:hAnsi="Times New Roman" w:cs="Times New Roman"/>
        </w:rPr>
        <w:t xml:space="preserve">darbų </w:t>
      </w:r>
      <w:r>
        <w:rPr>
          <w:rFonts w:ascii="Times New Roman" w:hAnsi="Times New Roman" w:cs="Times New Roman"/>
          <w:bCs/>
        </w:rPr>
        <w:t>ir tvarkomųjų statybos darbų</w:t>
      </w:r>
      <w:r>
        <w:rPr>
          <w:rFonts w:ascii="Times New Roman" w:hAnsi="Times New Roman" w:cs="Times New Roman"/>
          <w:b/>
          <w:bCs/>
        </w:rPr>
        <w:t xml:space="preserve"> </w:t>
      </w:r>
      <w:r>
        <w:rPr>
          <w:rFonts w:ascii="Times New Roman" w:hAnsi="Times New Roman" w:cs="Times New Roman"/>
        </w:rPr>
        <w:t xml:space="preserve">išlaidos pripažįstamos sąnaudomis tą ataskaitinį laikotarpį, kai jos padaromos. </w:t>
      </w:r>
    </w:p>
    <w:p w:rsidR="001D69BA" w:rsidRDefault="001D69BA" w:rsidP="001D69BA">
      <w:pPr>
        <w:widowControl/>
        <w:numPr>
          <w:ilvl w:val="0"/>
          <w:numId w:val="7"/>
        </w:numPr>
        <w:tabs>
          <w:tab w:val="left" w:pos="1134"/>
          <w:tab w:val="left" w:pos="2552"/>
        </w:tabs>
        <w:autoSpaceDE w:val="0"/>
        <w:autoSpaceDN w:val="0"/>
        <w:adjustRightInd w:val="0"/>
        <w:spacing w:before="25" w:afterLines="25" w:after="60" w:line="300" w:lineRule="auto"/>
        <w:ind w:firstLine="567"/>
        <w:jc w:val="both"/>
        <w:rPr>
          <w:rFonts w:ascii="Times New Roman" w:hAnsi="Times New Roman" w:cs="Times New Roman"/>
        </w:rPr>
      </w:pPr>
      <w:r>
        <w:rPr>
          <w:rFonts w:ascii="Times New Roman" w:hAnsi="Times New Roman" w:cs="Times New Roman"/>
        </w:rPr>
        <w:t>Jei viešojo sektoriaus subjektas, siekdamas įgyvendinti viešąjį interesą, atlieka turto, kurio nevaldo, kuriuo nesinaudoja (nesinuomoja ar kitaip nesinaudoja) ir nedisponuoja, esminio pagerinimo darbus, išlaidas šiems darbams atlikti pripažįsta sąnaudomis tą ataskaitinį laikotarpį, kai jos padaromos.</w:t>
      </w:r>
    </w:p>
    <w:p w:rsidR="001D69BA" w:rsidRDefault="001D69BA" w:rsidP="001D69BA">
      <w:pPr>
        <w:widowControl/>
        <w:numPr>
          <w:ilvl w:val="0"/>
          <w:numId w:val="7"/>
        </w:numPr>
        <w:tabs>
          <w:tab w:val="left" w:pos="1134"/>
          <w:tab w:val="left" w:pos="2552"/>
        </w:tabs>
        <w:autoSpaceDE w:val="0"/>
        <w:autoSpaceDN w:val="0"/>
        <w:adjustRightInd w:val="0"/>
        <w:spacing w:before="25" w:afterLines="25" w:after="60" w:line="300" w:lineRule="auto"/>
        <w:ind w:firstLine="567"/>
        <w:jc w:val="both"/>
        <w:rPr>
          <w:rFonts w:ascii="Times New Roman" w:hAnsi="Times New Roman" w:cs="Times New Roman"/>
        </w:rPr>
      </w:pPr>
      <w:r>
        <w:rPr>
          <w:rFonts w:ascii="Times New Roman" w:hAnsi="Times New Roman" w:cs="Times New Roman"/>
        </w:rPr>
        <w:t>Atliktų žemės gerinimo darbų, tokių kaip žemės sklypo melioravimo darbai, akmenų rinkimas, šienavimas, ir panašios išlaidos pripažįstamos sąnaudomis tą ataskaitinį laikotarpį, kai jos padaromos.</w:t>
      </w:r>
    </w:p>
    <w:p w:rsidR="001D69BA" w:rsidRDefault="001D69BA" w:rsidP="001D69BA">
      <w:pPr>
        <w:widowControl/>
        <w:numPr>
          <w:ilvl w:val="0"/>
          <w:numId w:val="7"/>
        </w:numPr>
        <w:tabs>
          <w:tab w:val="left" w:pos="1134"/>
          <w:tab w:val="left" w:pos="2552"/>
        </w:tabs>
        <w:suppressAutoHyphens/>
        <w:autoSpaceDE w:val="0"/>
        <w:spacing w:before="25" w:afterLines="25" w:after="60" w:line="300" w:lineRule="auto"/>
        <w:ind w:firstLine="567"/>
        <w:jc w:val="both"/>
        <w:rPr>
          <w:rFonts w:ascii="Times New Roman" w:hAnsi="Times New Roman" w:cs="Times New Roman"/>
        </w:rPr>
      </w:pPr>
      <w:r>
        <w:rPr>
          <w:rFonts w:ascii="Times New Roman" w:hAnsi="Times New Roman" w:cs="Times New Roman"/>
        </w:rPr>
        <w:t>Detaliau ilgalaikio materialiojo turto apskaitos tvarka ir procedūros Ilgalaikio materialiojo turto apskaitos tvarkos apraše.</w:t>
      </w:r>
    </w:p>
    <w:p w:rsidR="001D69BA" w:rsidRDefault="001D69BA" w:rsidP="001D69BA">
      <w:pPr>
        <w:pStyle w:val="Antrat1"/>
        <w:numPr>
          <w:ilvl w:val="0"/>
          <w:numId w:val="6"/>
        </w:numPr>
        <w:tabs>
          <w:tab w:val="num" w:pos="360"/>
        </w:tabs>
        <w:suppressAutoHyphens/>
        <w:spacing w:before="240" w:after="60"/>
        <w:ind w:left="0" w:firstLine="0"/>
        <w:rPr>
          <w:szCs w:val="24"/>
        </w:rPr>
      </w:pPr>
      <w:bookmarkStart w:id="6" w:name="_Toc333413251"/>
      <w:r>
        <w:rPr>
          <w:szCs w:val="24"/>
        </w:rPr>
        <w:t>Biologinis turtas</w:t>
      </w:r>
      <w:bookmarkEnd w:id="6"/>
    </w:p>
    <w:p w:rsidR="001D69BA" w:rsidRDefault="001D69BA" w:rsidP="001D69BA">
      <w:pPr>
        <w:tabs>
          <w:tab w:val="left" w:pos="1701"/>
          <w:tab w:val="left" w:pos="2552"/>
        </w:tabs>
        <w:spacing w:before="25" w:after="25"/>
        <w:ind w:firstLine="709"/>
        <w:rPr>
          <w:rFonts w:ascii="Times New Roman" w:hAnsi="Times New Roman" w:cs="Times New Roman"/>
        </w:rPr>
      </w:pPr>
    </w:p>
    <w:p w:rsidR="001D69BA" w:rsidRDefault="001D69BA" w:rsidP="001D69BA">
      <w:pPr>
        <w:widowControl/>
        <w:numPr>
          <w:ilvl w:val="0"/>
          <w:numId w:val="7"/>
        </w:numPr>
        <w:tabs>
          <w:tab w:val="left" w:pos="1134"/>
          <w:tab w:val="left" w:pos="2552"/>
        </w:tabs>
        <w:suppressAutoHyphens/>
        <w:spacing w:before="25" w:after="25" w:line="300" w:lineRule="auto"/>
        <w:ind w:firstLine="567"/>
        <w:jc w:val="both"/>
        <w:rPr>
          <w:rFonts w:ascii="Times New Roman" w:hAnsi="Times New Roman" w:cs="Times New Roman"/>
        </w:rPr>
      </w:pPr>
      <w:r>
        <w:rPr>
          <w:rFonts w:ascii="Times New Roman" w:hAnsi="Times New Roman" w:cs="Times New Roman"/>
        </w:rPr>
        <w:t>Biologinio turto apskaitos politika nustatyta 16-ajame VSAFAS „Biologinis turtas ir mineraliniai ištekliai“ (toliau – 16-asis VSAFAS).</w:t>
      </w:r>
    </w:p>
    <w:p w:rsidR="001D69BA" w:rsidRDefault="001D69BA" w:rsidP="001D69BA">
      <w:pPr>
        <w:widowControl/>
        <w:numPr>
          <w:ilvl w:val="0"/>
          <w:numId w:val="7"/>
        </w:numPr>
        <w:tabs>
          <w:tab w:val="left" w:pos="1134"/>
          <w:tab w:val="left" w:pos="2552"/>
        </w:tabs>
        <w:suppressAutoHyphens/>
        <w:spacing w:before="25" w:after="25" w:line="300" w:lineRule="auto"/>
        <w:ind w:firstLine="567"/>
        <w:jc w:val="both"/>
        <w:rPr>
          <w:rFonts w:ascii="Times New Roman" w:hAnsi="Times New Roman" w:cs="Times New Roman"/>
        </w:rPr>
      </w:pPr>
      <w:r>
        <w:rPr>
          <w:rFonts w:ascii="Times New Roman" w:hAnsi="Times New Roman" w:cs="Times New Roman"/>
        </w:rPr>
        <w:t xml:space="preserve">Biologinis turtas registruojamas apskaitoje, jeigu atitinka 16-ajame VSAFAS nurodytus turto pripažinimo kriterijus. </w:t>
      </w:r>
    </w:p>
    <w:p w:rsidR="001D69BA" w:rsidRDefault="001D69BA" w:rsidP="001D69BA">
      <w:pPr>
        <w:widowControl/>
        <w:numPr>
          <w:ilvl w:val="0"/>
          <w:numId w:val="7"/>
        </w:numPr>
        <w:tabs>
          <w:tab w:val="left" w:pos="1134"/>
          <w:tab w:val="left" w:pos="2552"/>
        </w:tabs>
        <w:suppressAutoHyphens/>
        <w:spacing w:before="25" w:after="25" w:line="300" w:lineRule="auto"/>
        <w:ind w:firstLine="567"/>
        <w:jc w:val="both"/>
        <w:rPr>
          <w:rFonts w:ascii="Times New Roman" w:hAnsi="Times New Roman" w:cs="Times New Roman"/>
        </w:rPr>
      </w:pPr>
      <w:r>
        <w:rPr>
          <w:rFonts w:ascii="Times New Roman" w:hAnsi="Times New Roman" w:cs="Times New Roman"/>
        </w:rPr>
        <w:t>Pirminio pripažinimo metu ne žemės ūkio paskirties biologinis turto vienetas apskaitoje registruojamas ir finansinėse ataskaitose rodomas taip:</w:t>
      </w:r>
    </w:p>
    <w:p w:rsidR="001D69BA" w:rsidRDefault="001D69BA" w:rsidP="001D69BA">
      <w:pPr>
        <w:widowControl/>
        <w:numPr>
          <w:ilvl w:val="1"/>
          <w:numId w:val="7"/>
        </w:numPr>
        <w:tabs>
          <w:tab w:val="left" w:pos="1418"/>
          <w:tab w:val="left" w:pos="2552"/>
        </w:tabs>
        <w:suppressAutoHyphens/>
        <w:spacing w:before="25" w:after="25" w:line="300" w:lineRule="auto"/>
        <w:ind w:left="0" w:firstLine="567"/>
        <w:jc w:val="both"/>
        <w:rPr>
          <w:rFonts w:ascii="Times New Roman" w:hAnsi="Times New Roman" w:cs="Times New Roman"/>
        </w:rPr>
      </w:pPr>
      <w:r>
        <w:rPr>
          <w:rFonts w:ascii="Times New Roman" w:hAnsi="Times New Roman" w:cs="Times New Roman"/>
        </w:rPr>
        <w:t>įsigijimo arba pasigaminimo savikaina, jei ji gali būti patikimai nustatyta;</w:t>
      </w:r>
    </w:p>
    <w:p w:rsidR="001D69BA" w:rsidRDefault="001D69BA" w:rsidP="001D69BA">
      <w:pPr>
        <w:widowControl/>
        <w:numPr>
          <w:ilvl w:val="1"/>
          <w:numId w:val="7"/>
        </w:numPr>
        <w:tabs>
          <w:tab w:val="left" w:pos="1418"/>
          <w:tab w:val="left" w:pos="2552"/>
        </w:tabs>
        <w:suppressAutoHyphens/>
        <w:spacing w:before="25" w:after="25" w:line="300" w:lineRule="auto"/>
        <w:ind w:left="0" w:firstLine="567"/>
        <w:jc w:val="both"/>
        <w:rPr>
          <w:rFonts w:ascii="Times New Roman" w:hAnsi="Times New Roman" w:cs="Times New Roman"/>
        </w:rPr>
      </w:pPr>
      <w:r>
        <w:rPr>
          <w:rFonts w:ascii="Times New Roman" w:hAnsi="Times New Roman" w:cs="Times New Roman"/>
        </w:rPr>
        <w:t>simboline vieno euro verte, jei Šiaulių miesto savivaldybės Apskaitos centras ir įstaiga, kurios buhalterinė apskaita yra tvarkoma centralizuotai Apskaitos centro, neturi nustatytų taisyklių (metodikos) ir įsigijimo savikaina yra lygi nuliui arba negali būti patikimai nustatyta.</w:t>
      </w:r>
    </w:p>
    <w:p w:rsidR="001D69BA" w:rsidRDefault="001D69BA" w:rsidP="001D69BA">
      <w:pPr>
        <w:widowControl/>
        <w:numPr>
          <w:ilvl w:val="0"/>
          <w:numId w:val="7"/>
        </w:numPr>
        <w:tabs>
          <w:tab w:val="left" w:pos="1134"/>
          <w:tab w:val="left" w:pos="2552"/>
        </w:tabs>
        <w:suppressAutoHyphens/>
        <w:spacing w:before="25" w:after="25" w:line="300" w:lineRule="auto"/>
        <w:ind w:firstLine="567"/>
        <w:jc w:val="both"/>
        <w:rPr>
          <w:rFonts w:ascii="Times New Roman" w:hAnsi="Times New Roman" w:cs="Times New Roman"/>
        </w:rPr>
      </w:pPr>
      <w:r>
        <w:rPr>
          <w:rFonts w:ascii="Times New Roman" w:hAnsi="Times New Roman" w:cs="Times New Roman"/>
        </w:rPr>
        <w:t>Pelnas arba nuostoliai, susiję su biologinio turto tikrosios vertės pasikeitimu, rodomi ataskaitinio laikotarpio, per kurį yra nustatyti, veiklos rezultatų ataskaitoje.</w:t>
      </w:r>
    </w:p>
    <w:p w:rsidR="001D69BA" w:rsidRDefault="001D69BA" w:rsidP="001D69BA">
      <w:pPr>
        <w:widowControl/>
        <w:numPr>
          <w:ilvl w:val="0"/>
          <w:numId w:val="7"/>
        </w:numPr>
        <w:tabs>
          <w:tab w:val="left" w:pos="1134"/>
          <w:tab w:val="left" w:pos="2552"/>
        </w:tabs>
        <w:suppressAutoHyphens/>
        <w:spacing w:before="25" w:after="25" w:line="300" w:lineRule="auto"/>
        <w:ind w:firstLine="567"/>
        <w:jc w:val="both"/>
        <w:rPr>
          <w:rFonts w:ascii="Times New Roman" w:hAnsi="Times New Roman" w:cs="Times New Roman"/>
        </w:rPr>
      </w:pPr>
      <w:r>
        <w:rPr>
          <w:rFonts w:ascii="Times New Roman" w:hAnsi="Times New Roman" w:cs="Times New Roman"/>
        </w:rPr>
        <w:t>Detaliau biologinio turto apskaitos ypatybės aprašomos Biologinio turto apskaitos tvarkos apraše.</w:t>
      </w:r>
    </w:p>
    <w:p w:rsidR="001D69BA" w:rsidRDefault="001D69BA" w:rsidP="001D69BA">
      <w:pPr>
        <w:pStyle w:val="Antrat1"/>
        <w:numPr>
          <w:ilvl w:val="0"/>
          <w:numId w:val="6"/>
        </w:numPr>
        <w:tabs>
          <w:tab w:val="num" w:pos="360"/>
        </w:tabs>
        <w:suppressAutoHyphens/>
        <w:spacing w:before="240" w:after="60"/>
        <w:ind w:left="0" w:firstLine="0"/>
        <w:rPr>
          <w:szCs w:val="24"/>
        </w:rPr>
      </w:pPr>
      <w:bookmarkStart w:id="7" w:name="_Toc333413252"/>
      <w:r>
        <w:rPr>
          <w:szCs w:val="24"/>
        </w:rPr>
        <w:t>Atsargos</w:t>
      </w:r>
      <w:bookmarkEnd w:id="7"/>
    </w:p>
    <w:p w:rsidR="001D69BA" w:rsidRDefault="001D69BA" w:rsidP="001D69BA">
      <w:pPr>
        <w:tabs>
          <w:tab w:val="left" w:pos="1701"/>
          <w:tab w:val="left" w:pos="2552"/>
        </w:tabs>
        <w:autoSpaceDE w:val="0"/>
        <w:spacing w:before="25" w:after="25"/>
        <w:ind w:firstLine="851"/>
        <w:jc w:val="both"/>
        <w:rPr>
          <w:rFonts w:ascii="Times New Roman" w:hAnsi="Times New Roman" w:cs="Times New Roman"/>
          <w:color w:val="FF0000"/>
        </w:rPr>
      </w:pP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Atsargų apskaitos metodai ir taisyklės nustatyti 8-ajame viešojo sektoriaus apskaitos ir finansinės atskaitomybės standarte „Atsargos“ (toliau – 8-asis VSAFAS).</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Pirminio pripažinimo metu atsargos įvertinamos įsigijimo (pasigaminimo) savikaina, o sudarant finansines ataskaitas – įsigijimo (pasigaminimo) savikaina ar grynąja realizavimo verte, atsižvelgiant į tai, kuri iš jų mažesnė. Grynoji realizavimo vertė nenustatinėjama, kai atsargas ketinama sunaudoti per šį metinį laikotarpį. </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Apskaičiuodama atsargų, sunaudotų teikiant paslaugas, ar parduotų atsargų savikainą, Šiaulių miesto savivaldybės Apskaitos centras ir įstaigos, kurių buhalterinė apskaita yra tvarkoma centralizuotai Apskaitos centro, taiko konkrečių kainų arba FIFO įkainojimo metodą. Atsargų įkainojimo metodo pasirinkimas priklauso nuo atsargų pobūdžio.</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lastRenderedPageBreak/>
        <w:t xml:space="preserve">Sudarant finansines ataskaitas, atsargos gali būti nukainojamos iki grynosios realizavimo vertės tam, kad jų balansinė vertė neviršytų būsimos ekonominės naudos ar paslaugų vertės, kurią tikimasi gauti šias atsargas pardavus, paskirsčius ar panaudojus. </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Kai atsargos parduodamos ar perduodamos, jų balansinė vertė pripažįstama sąnaudomis to laikotarpio, kuriuo pripažįstamos atitinkamos pajamos. Atsargų sunaudojimas arba pardavimas apskaitoje registruojamas pagal nuolat apskaitomų atsargų būdą, kai buhalterinėje apskaitoje registruojama kiekviena su atsargų sunaudojimu arba pardavimu susijusi operacija.</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Prie atsargų priskiriamas neatiduotas naudoti ūkinis inventorius. Atiduoto naudoti inventoriaus vertė iš karto įtraukiama į sąnaudas. Naudojamo inventoriaus kiekinė ir vertinė apskaita tvarkoma nebalansinėse sąskaitose. </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Detaliau atsargų apskaitos ypatumai aprašomi Atsargų apskaitos tvarkos apraše.</w:t>
      </w:r>
    </w:p>
    <w:p w:rsidR="001D69BA" w:rsidRDefault="001D69BA" w:rsidP="001D69BA">
      <w:pPr>
        <w:pStyle w:val="Antrat1"/>
        <w:numPr>
          <w:ilvl w:val="0"/>
          <w:numId w:val="6"/>
        </w:numPr>
        <w:tabs>
          <w:tab w:val="num" w:pos="360"/>
        </w:tabs>
        <w:suppressAutoHyphens/>
        <w:spacing w:before="240" w:after="60"/>
        <w:ind w:left="0" w:firstLine="0"/>
        <w:rPr>
          <w:szCs w:val="24"/>
        </w:rPr>
      </w:pPr>
      <w:bookmarkStart w:id="8" w:name="_Toc333413253"/>
      <w:r>
        <w:rPr>
          <w:szCs w:val="24"/>
        </w:rPr>
        <w:t>Finansinis turtas</w:t>
      </w:r>
      <w:bookmarkEnd w:id="8"/>
    </w:p>
    <w:p w:rsidR="001D69BA" w:rsidRDefault="001D69BA" w:rsidP="001D69BA">
      <w:pPr>
        <w:tabs>
          <w:tab w:val="left" w:pos="1701"/>
          <w:tab w:val="left" w:pos="2552"/>
        </w:tabs>
        <w:autoSpaceDE w:val="0"/>
        <w:spacing w:before="25" w:after="25"/>
        <w:ind w:firstLine="851"/>
        <w:jc w:val="both"/>
        <w:rPr>
          <w:rFonts w:ascii="Times New Roman" w:hAnsi="Times New Roman" w:cs="Times New Roman"/>
          <w:b/>
          <w:bCs/>
          <w:color w:val="FF0000"/>
        </w:rPr>
      </w:pP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Finansinio turto apskaitos metodai ir taisyklės nustatyti 14-ajame viešojo sektoriaus apskaitos ir finansinės atskaitomybės standarte „Jungimai ir investicijos į asocijuotuosius subjektus“ (toliau – 14-asis VSAFAS), 15-ajame viešojo sektoriaus apskaitos ir finansinės atskaitomybės standarte „Konsoliduotųjų finansinių ataskaitų rinkinys ir investicijos į kontroliuojamus subjektus“ (toliau 15-asis VSAFAS) ir 17-ajame viešojo sektoriaus apskaitos ir finansinės atskaitomybės standarte „Finansinis turtas ir finansiniai įsipareigojimai“ (toliau – 17-asis VSAFAS).</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Finansinis turtas yra skirstomas į ilgalaikį ir trumpalaikį.</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Ilgalaikiam finansiniam turtui priskiriama:</w:t>
      </w:r>
    </w:p>
    <w:p w:rsidR="001D69BA" w:rsidRDefault="001D69BA" w:rsidP="001D69BA">
      <w:pPr>
        <w:widowControl/>
        <w:numPr>
          <w:ilvl w:val="1"/>
          <w:numId w:val="7"/>
        </w:numPr>
        <w:tabs>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ilgalaikės investicijos į nuosavybės vertybinius popierius; </w:t>
      </w:r>
    </w:p>
    <w:p w:rsidR="001D69BA" w:rsidRDefault="001D69BA" w:rsidP="001D69BA">
      <w:pPr>
        <w:widowControl/>
        <w:numPr>
          <w:ilvl w:val="1"/>
          <w:numId w:val="7"/>
        </w:numPr>
        <w:tabs>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po vienų metų gautinos sumos; </w:t>
      </w:r>
    </w:p>
    <w:p w:rsidR="001D69BA" w:rsidRDefault="001D69BA" w:rsidP="001D69BA">
      <w:pPr>
        <w:widowControl/>
        <w:numPr>
          <w:ilvl w:val="1"/>
          <w:numId w:val="7"/>
        </w:numPr>
        <w:tabs>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kitas ilgalaikis finansinis turtas.</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Trumpalaikiam finansiniam turtui priskiriama:</w:t>
      </w:r>
    </w:p>
    <w:p w:rsidR="001D69BA" w:rsidRDefault="001D69BA" w:rsidP="001D69BA">
      <w:pPr>
        <w:widowControl/>
        <w:numPr>
          <w:ilvl w:val="1"/>
          <w:numId w:val="7"/>
        </w:numPr>
        <w:tabs>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per vienus metus gautinos sumos (įskaitant ilgalaikių gautinų sumų einamųjų metų dalį); </w:t>
      </w:r>
    </w:p>
    <w:p w:rsidR="001D69BA" w:rsidRDefault="001D69BA" w:rsidP="001D69BA">
      <w:pPr>
        <w:widowControl/>
        <w:numPr>
          <w:ilvl w:val="1"/>
          <w:numId w:val="7"/>
        </w:numPr>
        <w:tabs>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pinigai ir pinigų ekvivalentai;</w:t>
      </w:r>
    </w:p>
    <w:p w:rsidR="001D69BA" w:rsidRDefault="001D69BA" w:rsidP="001D69BA">
      <w:pPr>
        <w:widowControl/>
        <w:numPr>
          <w:ilvl w:val="1"/>
          <w:numId w:val="7"/>
        </w:numPr>
        <w:tabs>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Kitas trumpalaikis finansinis turtas.</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Investicijos į kitus subjektus, kuriuose Šiaulių miesto savivaldybės Apskaitos centras ir / ar įstaiga, kurios buhalterinė apskaita yra tvarkoma centralizuotai Apskaitos centro, turi 50 </w:t>
      </w:r>
      <w:proofErr w:type="spellStart"/>
      <w:r>
        <w:rPr>
          <w:rFonts w:ascii="Times New Roman" w:hAnsi="Times New Roman" w:cs="Times New Roman"/>
        </w:rPr>
        <w:t>proc</w:t>
      </w:r>
      <w:proofErr w:type="spellEnd"/>
      <w:r>
        <w:rPr>
          <w:rFonts w:ascii="Times New Roman" w:hAnsi="Times New Roman" w:cs="Times New Roman"/>
        </w:rPr>
        <w:t>. ir daugiau balsavimo teisių laikomos investicijomis į kontroliuojamuosius subjektus.</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Investicijos į kitus subjektus, kuriuose Šiaulių miesto savivaldybės Apskaitos centras ir / ar įstaiga, kurios buhalterinė apskaita yra tvarkoma centralizuotai Apskaitos centro turi nuo 20 </w:t>
      </w:r>
      <w:proofErr w:type="spellStart"/>
      <w:r>
        <w:rPr>
          <w:rFonts w:ascii="Times New Roman" w:hAnsi="Times New Roman" w:cs="Times New Roman"/>
        </w:rPr>
        <w:t>proc</w:t>
      </w:r>
      <w:proofErr w:type="spellEnd"/>
      <w:r>
        <w:rPr>
          <w:rFonts w:ascii="Times New Roman" w:hAnsi="Times New Roman" w:cs="Times New Roman"/>
        </w:rPr>
        <w:t xml:space="preserve">. iki 50 </w:t>
      </w:r>
      <w:proofErr w:type="spellStart"/>
      <w:r>
        <w:rPr>
          <w:rFonts w:ascii="Times New Roman" w:hAnsi="Times New Roman" w:cs="Times New Roman"/>
        </w:rPr>
        <w:t>proc</w:t>
      </w:r>
      <w:proofErr w:type="spellEnd"/>
      <w:r>
        <w:rPr>
          <w:rFonts w:ascii="Times New Roman" w:hAnsi="Times New Roman" w:cs="Times New Roman"/>
        </w:rPr>
        <w:t>. balsavimo teisių laikomos investicijomis į asocijuotuosius subjektus.</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Investicijos į kitus subjektus, kuriuose Šiaulių miesto savivaldybės Apskaitos centras ir / ar įstaiga, kurios buhalterinė apskaita yra tvarkoma centralizuotai Apskaitos centro turi mažiau nei 20 </w:t>
      </w:r>
      <w:proofErr w:type="spellStart"/>
      <w:r>
        <w:rPr>
          <w:rFonts w:ascii="Times New Roman" w:hAnsi="Times New Roman" w:cs="Times New Roman"/>
        </w:rPr>
        <w:t>proc</w:t>
      </w:r>
      <w:proofErr w:type="spellEnd"/>
      <w:r>
        <w:rPr>
          <w:rFonts w:ascii="Times New Roman" w:hAnsi="Times New Roman" w:cs="Times New Roman"/>
        </w:rPr>
        <w:t>. balsavimo teisių, laikomos paprastomis investicijomis.</w:t>
      </w: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lastRenderedPageBreak/>
        <w:t xml:space="preserve">Investicijos į kontroliuojamuosius, asocijuotuosius ir kitus subjektus apskaitoje pirminio pripažinimo momentu registruojamos savikainos metodu (įsigijimo savikaina), o vėliau bei parodomos finansinėse ataskaitose savikainos ar nuosavybės metodu. </w:t>
      </w:r>
    </w:p>
    <w:p w:rsidR="001D69BA" w:rsidRDefault="001D69BA" w:rsidP="001D69BA">
      <w:pPr>
        <w:tabs>
          <w:tab w:val="left" w:pos="1701"/>
          <w:tab w:val="left" w:pos="2552"/>
        </w:tabs>
        <w:autoSpaceDE w:val="0"/>
        <w:spacing w:before="25" w:after="25" w:line="300" w:lineRule="auto"/>
        <w:ind w:firstLine="851"/>
        <w:jc w:val="right"/>
        <w:rPr>
          <w:rFonts w:ascii="Times New Roman" w:hAnsi="Times New Roman" w:cs="Times New Roman"/>
        </w:rPr>
      </w:pPr>
    </w:p>
    <w:p w:rsidR="001D69BA" w:rsidRDefault="001D69BA" w:rsidP="001D69BA">
      <w:pPr>
        <w:tabs>
          <w:tab w:val="left" w:pos="1701"/>
          <w:tab w:val="left" w:pos="2552"/>
        </w:tabs>
        <w:autoSpaceDE w:val="0"/>
        <w:ind w:firstLine="851"/>
        <w:jc w:val="center"/>
        <w:rPr>
          <w:rFonts w:ascii="Times New Roman" w:hAnsi="Times New Roman" w:cs="Times New Roman"/>
          <w:b/>
        </w:rPr>
      </w:pPr>
      <w:r>
        <w:rPr>
          <w:rFonts w:ascii="Times New Roman" w:hAnsi="Times New Roman" w:cs="Times New Roman"/>
          <w:b/>
        </w:rPr>
        <w:t>Investicijų apskaitos metodai ir pateikimas finansinėse ataskaitose</w:t>
      </w:r>
    </w:p>
    <w:p w:rsidR="001D69BA" w:rsidRDefault="001D69BA" w:rsidP="001D69BA">
      <w:pPr>
        <w:tabs>
          <w:tab w:val="left" w:pos="1701"/>
          <w:tab w:val="left" w:pos="2552"/>
        </w:tabs>
        <w:autoSpaceDE w:val="0"/>
        <w:ind w:firstLine="851"/>
        <w:jc w:val="both"/>
        <w:rPr>
          <w:rFonts w:ascii="Times New Roman" w:hAnsi="Times New Roman" w:cs="Times New Roman"/>
        </w:rPr>
      </w:pPr>
    </w:p>
    <w:p w:rsidR="001D69BA" w:rsidRDefault="001D69BA" w:rsidP="001D69BA">
      <w:pPr>
        <w:widowControl/>
        <w:numPr>
          <w:ilvl w:val="0"/>
          <w:numId w:val="7"/>
        </w:numPr>
        <w:tabs>
          <w:tab w:val="left" w:pos="1134"/>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Detaliau investicijų į nuosavybės vertybinius popierius apskaitos ypatumai yra aprašomi Finansinio turto apskaitos tvarkos apraše.</w:t>
      </w:r>
    </w:p>
    <w:p w:rsidR="001D69BA" w:rsidRDefault="001D69BA" w:rsidP="001D69BA">
      <w:pPr>
        <w:pStyle w:val="Antrat1"/>
        <w:numPr>
          <w:ilvl w:val="0"/>
          <w:numId w:val="6"/>
        </w:numPr>
        <w:tabs>
          <w:tab w:val="num" w:pos="360"/>
        </w:tabs>
        <w:suppressAutoHyphens/>
        <w:spacing w:before="240" w:after="60"/>
        <w:ind w:left="0" w:firstLine="0"/>
        <w:rPr>
          <w:szCs w:val="24"/>
        </w:rPr>
      </w:pPr>
      <w:bookmarkStart w:id="9" w:name="_Toc333413254"/>
      <w:r>
        <w:rPr>
          <w:szCs w:val="24"/>
        </w:rPr>
        <w:t>Gautinos sumos</w:t>
      </w:r>
      <w:bookmarkEnd w:id="9"/>
    </w:p>
    <w:p w:rsidR="001D69BA" w:rsidRDefault="001D69BA" w:rsidP="001D69BA">
      <w:pPr>
        <w:tabs>
          <w:tab w:val="left" w:pos="1701"/>
          <w:tab w:val="left" w:pos="2552"/>
        </w:tabs>
        <w:autoSpaceDE w:val="0"/>
        <w:spacing w:before="25" w:after="25"/>
        <w:ind w:firstLine="851"/>
        <w:jc w:val="both"/>
        <w:rPr>
          <w:rFonts w:ascii="Times New Roman" w:hAnsi="Times New Roman" w:cs="Times New Roman"/>
          <w:color w:val="FF0000"/>
        </w:rPr>
      </w:pP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Gautinos sumos pirminio pripažinimo metu yra įvertinamos įsigijimo savikaina.</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Finansinėse ataskaitose ilgalaikės gautinos sumos parodomos amortizuota savikaina, atėmus nuvertėjimo nuostolius. </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Finansinėse ataskaitose trumpalaikės gautinos sumos parodomos įsigijimo savikaina, atėmus nuvertėjimo nuostolius. </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Detaliau gautinų sumų nuvertėjimo apskaičiavimo principai ir gautinų sumų apskaitos ypatumai aprašomi Išankstinių apmokėjimų ir gautinų sumų apskaitos tvarkos apraše.</w:t>
      </w:r>
    </w:p>
    <w:p w:rsidR="001D69BA" w:rsidRDefault="001D69BA" w:rsidP="001D69BA">
      <w:pPr>
        <w:tabs>
          <w:tab w:val="left" w:pos="1134"/>
          <w:tab w:val="left" w:pos="1701"/>
          <w:tab w:val="left" w:pos="2552"/>
        </w:tabs>
        <w:autoSpaceDE w:val="0"/>
        <w:spacing w:before="25" w:after="25" w:line="300" w:lineRule="auto"/>
        <w:jc w:val="both"/>
        <w:rPr>
          <w:rFonts w:ascii="Times New Roman" w:hAnsi="Times New Roman" w:cs="Times New Roman"/>
        </w:rPr>
      </w:pPr>
    </w:p>
    <w:p w:rsidR="001D69BA" w:rsidRDefault="001D69BA" w:rsidP="001D69BA">
      <w:pPr>
        <w:widowControl/>
        <w:numPr>
          <w:ilvl w:val="0"/>
          <w:numId w:val="6"/>
        </w:numPr>
        <w:tabs>
          <w:tab w:val="left" w:pos="1134"/>
          <w:tab w:val="left" w:pos="1701"/>
          <w:tab w:val="left" w:pos="2552"/>
        </w:tabs>
        <w:suppressAutoHyphens/>
        <w:autoSpaceDE w:val="0"/>
        <w:spacing w:before="25" w:after="25" w:line="300" w:lineRule="auto"/>
        <w:jc w:val="center"/>
        <w:rPr>
          <w:rFonts w:ascii="Times New Roman" w:hAnsi="Times New Roman" w:cs="Times New Roman"/>
          <w:b/>
        </w:rPr>
      </w:pPr>
      <w:r>
        <w:rPr>
          <w:rFonts w:ascii="Times New Roman" w:hAnsi="Times New Roman" w:cs="Times New Roman"/>
          <w:b/>
        </w:rPr>
        <w:t xml:space="preserve"> </w:t>
      </w:r>
      <w:bookmarkStart w:id="10" w:name="_Toc333413255"/>
      <w:r>
        <w:rPr>
          <w:rFonts w:ascii="Times New Roman" w:hAnsi="Times New Roman" w:cs="Times New Roman"/>
          <w:b/>
        </w:rPr>
        <w:t>Pinigai ir pinigų ekvivalentai</w:t>
      </w:r>
      <w:bookmarkEnd w:id="10"/>
    </w:p>
    <w:p w:rsidR="001D69BA" w:rsidRDefault="001D69BA" w:rsidP="001D69BA">
      <w:pPr>
        <w:tabs>
          <w:tab w:val="left" w:pos="1701"/>
          <w:tab w:val="left" w:pos="2552"/>
        </w:tabs>
        <w:autoSpaceDE w:val="0"/>
        <w:spacing w:before="25" w:after="25"/>
        <w:ind w:firstLine="851"/>
        <w:jc w:val="both"/>
        <w:rPr>
          <w:rFonts w:ascii="Times New Roman" w:hAnsi="Times New Roman" w:cs="Times New Roman"/>
        </w:rPr>
      </w:pP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Pinigus sudaro pinigai kasoje ir banko sąskaitose. Pinigų ekvivalentai yra trumpalaikės, likvidžios investicijos, kurios gali būti greitai ir lengvai iškeičiamos į žinomą pinigų sumą. Tokių investicijų terminas neviršija trijų mėnesių, o vertės pokyčių rizika yra labai maža.</w:t>
      </w:r>
    </w:p>
    <w:p w:rsidR="001D69BA" w:rsidRDefault="001D69BA" w:rsidP="001D69BA">
      <w:pPr>
        <w:pStyle w:val="Antrat1"/>
        <w:numPr>
          <w:ilvl w:val="0"/>
          <w:numId w:val="6"/>
        </w:numPr>
        <w:tabs>
          <w:tab w:val="num" w:pos="360"/>
        </w:tabs>
        <w:suppressAutoHyphens/>
        <w:spacing w:before="240" w:after="60"/>
        <w:ind w:left="0" w:firstLine="0"/>
        <w:rPr>
          <w:bCs/>
          <w:szCs w:val="24"/>
        </w:rPr>
      </w:pPr>
      <w:bookmarkStart w:id="11" w:name="_Toc333413256"/>
      <w:r>
        <w:rPr>
          <w:bCs/>
          <w:szCs w:val="24"/>
        </w:rPr>
        <w:t>Finansavimo sumos</w:t>
      </w:r>
      <w:bookmarkEnd w:id="11"/>
    </w:p>
    <w:p w:rsidR="001D69BA" w:rsidRDefault="001D69BA" w:rsidP="001D69BA">
      <w:pPr>
        <w:tabs>
          <w:tab w:val="left" w:pos="1701"/>
          <w:tab w:val="left" w:pos="2552"/>
        </w:tabs>
        <w:autoSpaceDE w:val="0"/>
        <w:spacing w:before="25" w:after="25"/>
        <w:ind w:firstLine="851"/>
        <w:jc w:val="both"/>
        <w:rPr>
          <w:rFonts w:ascii="Times New Roman" w:hAnsi="Times New Roman" w:cs="Times New Roman"/>
          <w:b/>
          <w:bCs/>
        </w:rPr>
      </w:pP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Finansavimo sumų apskaitos metodai ir taisyklės nustatyti 20-ajame viešojo sektoriaus apskaitos ir finansinės atskaitomybės standarte „Finansavimo sumos“ (toliau – 20-asis VSAFAS).</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Finansavimo sumos pripažįstamos, kai atitinka 20-ajame VSAFAS nustatytus kriterijus.</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Finansavimo sumos – savivaldybės iš valstybės biudžeto, Europos Sąjungos (finansinė parama), užsienio valstybių ir tarptautinių organizacijų bei iš kitų šaltinių gauti arba gautini pinigai arba kitas turtas, skirtas Šiaulių miesto savivaldybės Apskaitos centro ir / ar įstaigos, kurios buhalterinė apskaita yra tvarkoma centralizuotai Apskaitos centro, nuostatuose nustatytiems tikslams ir programoms įgyvendinti. Finansavimo sumos apima ir gautus arba gautinus pinigus, ir kitą turtą pavedimams vykdyti, kitas lėšas išlaidoms kompensuoti ir paramos būdu gautą turtą.</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Gautinos finansavimo sumos apskaitoje registruojamos kai Šiaulių miesto savivaldybės Apskaitos centro ir / ar įstaigos, kurios buhalterinė apskaita yra tvarkoma centralizuotai Apskaitos centro, darbuotojai užtikrina, kad tenkinamos visos finansuotojo nustatytos sąlygos finansavimui gauti ir kai yra gauta įrodymų, kad finansavimo sumos bus suteiktos. </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Gautos (gautinos) finansavimo sumos pagal paskirtį skirstomos į:</w:t>
      </w:r>
    </w:p>
    <w:p w:rsidR="001D69BA" w:rsidRDefault="001D69BA" w:rsidP="001D69BA">
      <w:pPr>
        <w:widowControl/>
        <w:numPr>
          <w:ilvl w:val="1"/>
          <w:numId w:val="7"/>
        </w:numPr>
        <w:tabs>
          <w:tab w:val="left" w:pos="1134"/>
          <w:tab w:val="left" w:pos="1418"/>
          <w:tab w:val="left" w:pos="1701"/>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finansavimo sumas nepiniginiam turtui įsigyti; </w:t>
      </w:r>
    </w:p>
    <w:p w:rsidR="001D69BA" w:rsidRDefault="001D69BA" w:rsidP="001D69BA">
      <w:pPr>
        <w:widowControl/>
        <w:numPr>
          <w:ilvl w:val="1"/>
          <w:numId w:val="7"/>
        </w:numPr>
        <w:tabs>
          <w:tab w:val="left" w:pos="1134"/>
          <w:tab w:val="left" w:pos="1418"/>
          <w:tab w:val="left" w:pos="1701"/>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lastRenderedPageBreak/>
        <w:t>finansavimo sumas kitoms išlaidoms kompensuoti.</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Finansavimo sumos nepiniginiam turtui yra gaunamos kaip nemokamai gautas ilgalaikis turtas arba atsargos, įskaitant paramą, arba kaip pinigai, skirti įsigyti ilgalaikį arba trumpalaikį nepiniginį turtą.</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Finansavimo sumos kitoms išlaidoms yra skirtos ataskaitinio laikotarpio išlaidoms kompensuoti. Finansavimo sumomis, skirtomis kitoms išlaidoms kompensuoti, yra laikomos visos likusios finansavimo sumos, nepriskiriamos nepiniginiam turtui įsigyti.</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Gautos (gautinos) ir panaudotos finansavimo sumos arba jų dalis pripažįstamos finansavimo pajamomis tais laikotarpiais, kuriais patiriamos su finansavimo sumomis susijusios sąnaudos.</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Gautos ir perduotos kitiems viešojo sektoriaus subjektams finansavimo sumos, apskaitoje sąnaudomis nepripažįstamos. Perdavus finansavimo sumas kitiems viešojo sektoriaus subjektams, mažinamos gautos finansavimo sumos, registruojant perduotas finansavimo sumas.</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Gautos ir perduotos ne viešojo sektoriaus subjektams finansavimo sumos, registruojamos kaip sąnaudos, kartu pripažįstant finansavimo, kuris buvo skirtas šiam tikslui, pajamas.</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Jei Šiaulių miesto savivaldybės Apskaitos centras ir / ar įstaiga, kurios buhalterinė apskaita yra tvarkoma centralizuotai Apskaitos centro, iš savo uždirbtų pajamų finansuoja kitą viešojo sektoriaus subjektą arba ne viešojo sektoriaus subjektą, apskaitoje užregistruoja finansavimo sąnaudas.</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Detaliau finansavimo sumų apskaitos ypatumai nustatyti Finansavimo sumų apskaitos tvarkos apraše.</w:t>
      </w:r>
    </w:p>
    <w:p w:rsidR="001D69BA" w:rsidRDefault="001D69BA" w:rsidP="001D69BA">
      <w:pPr>
        <w:pStyle w:val="Antrat1"/>
        <w:numPr>
          <w:ilvl w:val="0"/>
          <w:numId w:val="6"/>
        </w:numPr>
        <w:tabs>
          <w:tab w:val="num" w:pos="360"/>
        </w:tabs>
        <w:suppressAutoHyphens/>
        <w:spacing w:before="240" w:after="60"/>
        <w:ind w:left="0" w:firstLine="0"/>
        <w:rPr>
          <w:szCs w:val="24"/>
        </w:rPr>
      </w:pPr>
      <w:bookmarkStart w:id="12" w:name="_Toc333413257"/>
      <w:r>
        <w:rPr>
          <w:szCs w:val="24"/>
        </w:rPr>
        <w:t>Finansiniai įsipareigojimai</w:t>
      </w:r>
      <w:bookmarkEnd w:id="12"/>
    </w:p>
    <w:p w:rsidR="001D69BA" w:rsidRDefault="001D69BA" w:rsidP="001D69BA">
      <w:pPr>
        <w:tabs>
          <w:tab w:val="left" w:pos="1701"/>
          <w:tab w:val="left" w:pos="2552"/>
        </w:tabs>
        <w:autoSpaceDE w:val="0"/>
        <w:spacing w:before="25" w:after="25"/>
        <w:ind w:firstLine="851"/>
        <w:jc w:val="both"/>
        <w:rPr>
          <w:rFonts w:ascii="Times New Roman" w:hAnsi="Times New Roman" w:cs="Times New Roman"/>
          <w:b/>
        </w:rPr>
      </w:pP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Finansinių įsipareigojimų apskaitos principai, metodai ir taisyklės nustatyti vadovaujantis 17-ajame VSAFAS, 18-ajame viešojo sektoriaus apskaitos ir finansinės atskaitomybės standarte „</w:t>
      </w:r>
      <w:proofErr w:type="spellStart"/>
      <w:r>
        <w:rPr>
          <w:rFonts w:ascii="Times New Roman" w:hAnsi="Times New Roman" w:cs="Times New Roman"/>
        </w:rPr>
        <w:t>Atidėjiniai</w:t>
      </w:r>
      <w:proofErr w:type="spellEnd"/>
      <w:r>
        <w:rPr>
          <w:rFonts w:ascii="Times New Roman" w:hAnsi="Times New Roman" w:cs="Times New Roman"/>
        </w:rPr>
        <w:t xml:space="preserve">, neapibrėžtieji įsipareigojimai, neapibrėžtasis turtas ir </w:t>
      </w:r>
      <w:proofErr w:type="spellStart"/>
      <w:r>
        <w:rPr>
          <w:rFonts w:ascii="Times New Roman" w:hAnsi="Times New Roman" w:cs="Times New Roman"/>
        </w:rPr>
        <w:t>poataskaitiniai</w:t>
      </w:r>
      <w:proofErr w:type="spellEnd"/>
      <w:r>
        <w:rPr>
          <w:rFonts w:ascii="Times New Roman" w:hAnsi="Times New Roman" w:cs="Times New Roman"/>
        </w:rPr>
        <w:t xml:space="preserve"> įvykiai“ (toliau – 18-asis VSAFAS), 19-ajame viešojo sektoriaus apskaitos ir finansinės atskaitomybės standarte „Nuoma, finansinė nuoma (lizingas) ir kitos turto perdavimo sutartys“ (toliau – 19-asis VSAFAS) ir 24-ajame viešojo sektoriaus apskaitos ir finansinės atskaitomybės standarte „Su darbo santykiais susijusios išmokos“ (toliau – 24-asis VSAFAS) nustatyta tvarka.</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Įsipareigojimai skirstomi į ilgalaikius ir trumpalaikius. </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Ilgalaikiams finansiniams įsipareigojimams priskiriama: </w:t>
      </w:r>
    </w:p>
    <w:p w:rsidR="001D69BA" w:rsidRDefault="001D69BA" w:rsidP="001D69BA">
      <w:pPr>
        <w:widowControl/>
        <w:numPr>
          <w:ilvl w:val="1"/>
          <w:numId w:val="7"/>
        </w:numPr>
        <w:tabs>
          <w:tab w:val="left" w:pos="1134"/>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ilgalaikiai </w:t>
      </w:r>
      <w:proofErr w:type="spellStart"/>
      <w:r>
        <w:rPr>
          <w:rFonts w:ascii="Times New Roman" w:hAnsi="Times New Roman" w:cs="Times New Roman"/>
        </w:rPr>
        <w:t>atidėjiniai</w:t>
      </w:r>
      <w:proofErr w:type="spellEnd"/>
      <w:r>
        <w:rPr>
          <w:rFonts w:ascii="Times New Roman" w:hAnsi="Times New Roman" w:cs="Times New Roman"/>
        </w:rPr>
        <w:t xml:space="preserve">; </w:t>
      </w:r>
    </w:p>
    <w:p w:rsidR="001D69BA" w:rsidRDefault="001D69BA" w:rsidP="001D69BA">
      <w:pPr>
        <w:widowControl/>
        <w:numPr>
          <w:ilvl w:val="1"/>
          <w:numId w:val="7"/>
        </w:numPr>
        <w:tabs>
          <w:tab w:val="left" w:pos="1134"/>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ilgalaikiai finansinės nuomos (lizingo) įsipareigojimai; </w:t>
      </w:r>
    </w:p>
    <w:p w:rsidR="001D69BA" w:rsidRDefault="001D69BA" w:rsidP="001D69BA">
      <w:pPr>
        <w:widowControl/>
        <w:numPr>
          <w:ilvl w:val="1"/>
          <w:numId w:val="7"/>
        </w:numPr>
        <w:tabs>
          <w:tab w:val="left" w:pos="1134"/>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kiti ilgalaikiai įsipareigojimai.</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Trumpalaikiams finansiniams įsipareigojimams priskiriama: </w:t>
      </w:r>
    </w:p>
    <w:p w:rsidR="001D69BA" w:rsidRDefault="001D69BA" w:rsidP="001D69BA">
      <w:pPr>
        <w:widowControl/>
        <w:numPr>
          <w:ilvl w:val="1"/>
          <w:numId w:val="7"/>
        </w:numPr>
        <w:tabs>
          <w:tab w:val="left" w:pos="1134"/>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trumpalaikiai </w:t>
      </w:r>
      <w:proofErr w:type="spellStart"/>
      <w:r>
        <w:rPr>
          <w:rFonts w:ascii="Times New Roman" w:hAnsi="Times New Roman" w:cs="Times New Roman"/>
        </w:rPr>
        <w:t>atidėjiniai</w:t>
      </w:r>
      <w:proofErr w:type="spellEnd"/>
      <w:r>
        <w:rPr>
          <w:rFonts w:ascii="Times New Roman" w:hAnsi="Times New Roman" w:cs="Times New Roman"/>
        </w:rPr>
        <w:t xml:space="preserve">; </w:t>
      </w:r>
    </w:p>
    <w:p w:rsidR="001D69BA" w:rsidRDefault="001D69BA" w:rsidP="001D69BA">
      <w:pPr>
        <w:widowControl/>
        <w:numPr>
          <w:ilvl w:val="1"/>
          <w:numId w:val="7"/>
        </w:numPr>
        <w:tabs>
          <w:tab w:val="left" w:pos="1134"/>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ilgalaikių įsipareigojimų einamųjų metų dalis; </w:t>
      </w:r>
    </w:p>
    <w:p w:rsidR="001D69BA" w:rsidRDefault="001D69BA" w:rsidP="001D69BA">
      <w:pPr>
        <w:widowControl/>
        <w:numPr>
          <w:ilvl w:val="1"/>
          <w:numId w:val="7"/>
        </w:numPr>
        <w:tabs>
          <w:tab w:val="left" w:pos="1134"/>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lastRenderedPageBreak/>
        <w:t xml:space="preserve">trumpalaikiai finansiniai įsipareigojimai; </w:t>
      </w:r>
    </w:p>
    <w:p w:rsidR="001D69BA" w:rsidRDefault="001D69BA" w:rsidP="001D69BA">
      <w:pPr>
        <w:widowControl/>
        <w:numPr>
          <w:ilvl w:val="1"/>
          <w:numId w:val="7"/>
        </w:numPr>
        <w:tabs>
          <w:tab w:val="left" w:pos="1134"/>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mokėtinos dotacijos ir finansavimo sumos; </w:t>
      </w:r>
    </w:p>
    <w:p w:rsidR="001D69BA" w:rsidRDefault="001D69BA" w:rsidP="001D69BA">
      <w:pPr>
        <w:widowControl/>
        <w:numPr>
          <w:ilvl w:val="1"/>
          <w:numId w:val="7"/>
        </w:numPr>
        <w:tabs>
          <w:tab w:val="left" w:pos="1134"/>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mokėtinos sumos į biudžetus, fondus; </w:t>
      </w:r>
    </w:p>
    <w:p w:rsidR="001D69BA" w:rsidRDefault="001D69BA" w:rsidP="001D69BA">
      <w:pPr>
        <w:widowControl/>
        <w:numPr>
          <w:ilvl w:val="1"/>
          <w:numId w:val="7"/>
        </w:numPr>
        <w:tabs>
          <w:tab w:val="left" w:pos="1134"/>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mokėtinos sumos, susijusios su vykdoma veikla;</w:t>
      </w:r>
    </w:p>
    <w:p w:rsidR="001D69BA" w:rsidRDefault="001D69BA" w:rsidP="001D69BA">
      <w:pPr>
        <w:widowControl/>
        <w:numPr>
          <w:ilvl w:val="1"/>
          <w:numId w:val="7"/>
        </w:numPr>
        <w:tabs>
          <w:tab w:val="left" w:pos="1134"/>
          <w:tab w:val="left" w:pos="1418"/>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kiti trumpalaikiai finansiniai įsipareigojimai.</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Pirminio pripažinimo metu finansiniai įsipareigojimai įvertinami ir registruojami įsigijimo savikaina. Vėliau šie įsipareigojimai įvertinami:</w:t>
      </w:r>
    </w:p>
    <w:p w:rsidR="001D69BA" w:rsidRDefault="001D69BA" w:rsidP="001D69BA">
      <w:pPr>
        <w:widowControl/>
        <w:numPr>
          <w:ilvl w:val="1"/>
          <w:numId w:val="7"/>
        </w:numPr>
        <w:tabs>
          <w:tab w:val="left" w:pos="1134"/>
          <w:tab w:val="left" w:pos="1418"/>
          <w:tab w:val="left" w:pos="1701"/>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ilgalaikiai finansiniai įsipareigojimai – amortizuota savikaina; </w:t>
      </w:r>
    </w:p>
    <w:p w:rsidR="001D69BA" w:rsidRDefault="001D69BA" w:rsidP="001D69BA">
      <w:pPr>
        <w:widowControl/>
        <w:numPr>
          <w:ilvl w:val="1"/>
          <w:numId w:val="7"/>
        </w:numPr>
        <w:tabs>
          <w:tab w:val="left" w:pos="1134"/>
          <w:tab w:val="left" w:pos="1418"/>
          <w:tab w:val="left" w:pos="1701"/>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trumpalaikiai finansiniai įsipareigojimai – įsigijimo savikaina, išskyrus atvejus, kai 17 VSAFAS numato išimtis dėl amortizuotos savikainos skaičiavimo arba amortizuotos savikainos pokytis yra nereikšmingas, </w:t>
      </w:r>
      <w:proofErr w:type="spellStart"/>
      <w:r>
        <w:rPr>
          <w:rFonts w:ascii="Times New Roman" w:hAnsi="Times New Roman" w:cs="Times New Roman"/>
        </w:rPr>
        <w:t>t.y</w:t>
      </w:r>
      <w:proofErr w:type="spellEnd"/>
      <w:r>
        <w:rPr>
          <w:rFonts w:ascii="Times New Roman" w:hAnsi="Times New Roman" w:cs="Times New Roman"/>
        </w:rPr>
        <w:t xml:space="preserve">. kai pokytis nesudaro 10 </w:t>
      </w:r>
      <w:proofErr w:type="spellStart"/>
      <w:r>
        <w:rPr>
          <w:rFonts w:ascii="Times New Roman" w:hAnsi="Times New Roman" w:cs="Times New Roman"/>
        </w:rPr>
        <w:t>proc</w:t>
      </w:r>
      <w:proofErr w:type="spellEnd"/>
      <w:r>
        <w:rPr>
          <w:rFonts w:ascii="Times New Roman" w:hAnsi="Times New Roman" w:cs="Times New Roman"/>
        </w:rPr>
        <w:t xml:space="preserve">. įsigijimo savikainos vertės. </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Detaliau įsipareigojimų apskaitos ypatumai aprašyti Ilgalaikių ir trumpalaikių įsipareigojimų apskaitos tvarkos apraše.</w:t>
      </w:r>
    </w:p>
    <w:p w:rsidR="001D69BA" w:rsidRDefault="001D69BA" w:rsidP="001D69BA">
      <w:pPr>
        <w:pStyle w:val="Antrat1"/>
        <w:numPr>
          <w:ilvl w:val="0"/>
          <w:numId w:val="6"/>
        </w:numPr>
        <w:tabs>
          <w:tab w:val="num" w:pos="360"/>
        </w:tabs>
        <w:suppressAutoHyphens/>
        <w:spacing w:before="240" w:after="60"/>
        <w:ind w:left="0" w:firstLine="0"/>
        <w:rPr>
          <w:bCs/>
          <w:szCs w:val="24"/>
        </w:rPr>
      </w:pPr>
      <w:bookmarkStart w:id="13" w:name="_Toc333413258"/>
      <w:proofErr w:type="spellStart"/>
      <w:r>
        <w:rPr>
          <w:bCs/>
          <w:szCs w:val="24"/>
        </w:rPr>
        <w:t>Atidėjiniai</w:t>
      </w:r>
      <w:bookmarkEnd w:id="13"/>
      <w:proofErr w:type="spellEnd"/>
    </w:p>
    <w:p w:rsidR="001D69BA" w:rsidRDefault="001D69BA" w:rsidP="001D69BA">
      <w:pPr>
        <w:tabs>
          <w:tab w:val="left" w:pos="1701"/>
          <w:tab w:val="left" w:pos="2552"/>
        </w:tabs>
        <w:autoSpaceDE w:val="0"/>
        <w:spacing w:before="25" w:after="25"/>
        <w:ind w:firstLine="851"/>
        <w:jc w:val="both"/>
        <w:rPr>
          <w:rFonts w:ascii="Times New Roman" w:hAnsi="Times New Roman" w:cs="Times New Roman"/>
          <w:b/>
          <w:bCs/>
        </w:rPr>
      </w:pP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proofErr w:type="spellStart"/>
      <w:r>
        <w:rPr>
          <w:rFonts w:ascii="Times New Roman" w:hAnsi="Times New Roman" w:cs="Times New Roman"/>
        </w:rPr>
        <w:t>Atidėjiniai</w:t>
      </w:r>
      <w:proofErr w:type="spellEnd"/>
      <w:r>
        <w:rPr>
          <w:rFonts w:ascii="Times New Roman" w:hAnsi="Times New Roman" w:cs="Times New Roman"/>
        </w:rPr>
        <w:t xml:space="preserve"> pripažįstami ir registruojami apskaitoje tada ir tik tada, kai dėl įvykio praeityje Šiaulių miesto savivaldybės Apskaitos centras ar įstaiga, kurios buhalterinė apskaita yra tvarkoma centralizuotai Apskaitos centro, turi dabartinę teisinę prievolę ar neatšaukiamą pasižadėjimą, ir tikėtina, kad jam įvykdyti bus reikalingi ištekliai, o įsipareigojimo suma gali būti patikimai įvertinta. Jei patenkinamos ne visos šios sąlygos, </w:t>
      </w:r>
      <w:proofErr w:type="spellStart"/>
      <w:r>
        <w:rPr>
          <w:rFonts w:ascii="Times New Roman" w:hAnsi="Times New Roman" w:cs="Times New Roman"/>
        </w:rPr>
        <w:t>atidėjiniai</w:t>
      </w:r>
      <w:proofErr w:type="spellEnd"/>
      <w:r>
        <w:rPr>
          <w:rFonts w:ascii="Times New Roman" w:hAnsi="Times New Roman" w:cs="Times New Roman"/>
        </w:rPr>
        <w:t xml:space="preserve"> nėra pripažįstami, o tiktai informacija apie susijusį su tikėtina sumokėti suma neapibrėžtąjį įsipareigojimą yra pateikiama finansinių ataskaitų aiškinamajame rašte (toliau – Aiškinamasis raštas). </w:t>
      </w:r>
      <w:proofErr w:type="spellStart"/>
      <w:r>
        <w:rPr>
          <w:rFonts w:ascii="Times New Roman" w:hAnsi="Times New Roman" w:cs="Times New Roman"/>
        </w:rPr>
        <w:t>Atidėjiniai</w:t>
      </w:r>
      <w:proofErr w:type="spellEnd"/>
      <w:r>
        <w:rPr>
          <w:rFonts w:ascii="Times New Roman" w:hAnsi="Times New Roman" w:cs="Times New Roman"/>
        </w:rPr>
        <w:t xml:space="preserve"> yra peržiūrimi paskutinę kiekvieno ataskaitinio laikotarpio dieną ir koreguojami, atsižvelgiant į naujus įvykius ar aplinkybes, kad parodytų tiksliausią dabartinį įvertinimą.</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Detaliau </w:t>
      </w:r>
      <w:proofErr w:type="spellStart"/>
      <w:r>
        <w:rPr>
          <w:rFonts w:ascii="Times New Roman" w:hAnsi="Times New Roman" w:cs="Times New Roman"/>
        </w:rPr>
        <w:t>atidėjinių</w:t>
      </w:r>
      <w:proofErr w:type="spellEnd"/>
      <w:r>
        <w:rPr>
          <w:rFonts w:ascii="Times New Roman" w:hAnsi="Times New Roman" w:cs="Times New Roman"/>
        </w:rPr>
        <w:t xml:space="preserve"> apskaitos ypatumai aprašyti Ilgalaikių ir trumpalaikių įsipareigojimų apskaitos tvarkos apraše.</w:t>
      </w:r>
    </w:p>
    <w:p w:rsidR="001D69BA" w:rsidRDefault="001D69BA" w:rsidP="001D69BA">
      <w:pPr>
        <w:pStyle w:val="Antrat1"/>
        <w:numPr>
          <w:ilvl w:val="0"/>
          <w:numId w:val="6"/>
        </w:numPr>
        <w:tabs>
          <w:tab w:val="num" w:pos="360"/>
        </w:tabs>
        <w:suppressAutoHyphens/>
        <w:spacing w:before="240" w:after="60"/>
        <w:ind w:left="0" w:firstLine="0"/>
        <w:rPr>
          <w:bCs/>
          <w:szCs w:val="24"/>
        </w:rPr>
      </w:pPr>
      <w:bookmarkStart w:id="14" w:name="_Toc333413259"/>
      <w:r>
        <w:rPr>
          <w:bCs/>
          <w:szCs w:val="24"/>
        </w:rPr>
        <w:t>Nuoma</w:t>
      </w:r>
      <w:bookmarkEnd w:id="14"/>
    </w:p>
    <w:p w:rsidR="001D69BA" w:rsidRDefault="001D69BA" w:rsidP="001D69BA">
      <w:pPr>
        <w:tabs>
          <w:tab w:val="left" w:pos="1701"/>
          <w:tab w:val="left" w:pos="2552"/>
        </w:tabs>
        <w:autoSpaceDE w:val="0"/>
        <w:spacing w:before="25" w:after="25"/>
        <w:ind w:firstLine="851"/>
        <w:jc w:val="both"/>
        <w:rPr>
          <w:rFonts w:ascii="Times New Roman" w:hAnsi="Times New Roman" w:cs="Times New Roman"/>
          <w:b/>
          <w:bCs/>
        </w:rPr>
      </w:pP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Registruojant apskaitoje nuomos sutartims taikomas turinio viršenybės prieš formą principas. Ar nuoma bus laikoma veiklos nuoma, ar finansine nuoma, priklauso ne nuo sutarties formos, o nuo jos turinio ir ekonominės prasmės.</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Nuomos sandoriai grupuojami į veiklos nuomos ar finansinės nuomos (lizingo) sandorius, atsižvelgiant į tai, kiek turto nuosavybės teikiamos naudos ir rizikos tenka nuomotojui ir kiek nuomininkui. </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Nuoma yra laikoma finansine nuoma, jei iš esmės visa su turto nuosavybe susijusi nauda ir didžioji dalis rizikos perduodama nuomininkui. Nuoma apskaitoje laikoma finansine nuoma, jeigu sutartyje yra nustatyta (arba sutarties sąlygos apsprendžia) bent viena iš šių sąlygų:</w:t>
      </w:r>
    </w:p>
    <w:p w:rsidR="001D69BA" w:rsidRDefault="001D69BA" w:rsidP="001D69BA">
      <w:pPr>
        <w:widowControl/>
        <w:numPr>
          <w:ilvl w:val="1"/>
          <w:numId w:val="7"/>
        </w:numPr>
        <w:tabs>
          <w:tab w:val="left" w:pos="1418"/>
          <w:tab w:val="left" w:pos="1701"/>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nuomos laikotarpio pabaigoje nuomotojas perduoda nuomininkui turto nuosavybės teisę; </w:t>
      </w:r>
    </w:p>
    <w:p w:rsidR="001D69BA" w:rsidRDefault="001D69BA" w:rsidP="001D69BA">
      <w:pPr>
        <w:widowControl/>
        <w:numPr>
          <w:ilvl w:val="1"/>
          <w:numId w:val="7"/>
        </w:numPr>
        <w:tabs>
          <w:tab w:val="left" w:pos="1418"/>
          <w:tab w:val="left" w:pos="1701"/>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lastRenderedPageBreak/>
        <w:t xml:space="preserve">nuomos laikotarpio pabaigoje nuomininkas turi teisę įsigyti turtą už kainą, kuri, tikimasi, bus reikšmingai mažesnė (daugiau nei 30 </w:t>
      </w:r>
      <w:proofErr w:type="spellStart"/>
      <w:r>
        <w:rPr>
          <w:rFonts w:ascii="Times New Roman" w:hAnsi="Times New Roman" w:cs="Times New Roman"/>
        </w:rPr>
        <w:t>proc</w:t>
      </w:r>
      <w:proofErr w:type="spellEnd"/>
      <w:r>
        <w:rPr>
          <w:rFonts w:ascii="Times New Roman" w:hAnsi="Times New Roman" w:cs="Times New Roman"/>
        </w:rPr>
        <w:t xml:space="preserve">.) už jo tikrąją vertę nuomos laikotarpio pabaigoje, ir nuomos laikotarpio pradžioje labai tikėtina, kad šia teise bus pasinaudota; </w:t>
      </w:r>
    </w:p>
    <w:p w:rsidR="001D69BA" w:rsidRDefault="001D69BA" w:rsidP="001D69BA">
      <w:pPr>
        <w:widowControl/>
        <w:numPr>
          <w:ilvl w:val="1"/>
          <w:numId w:val="7"/>
        </w:numPr>
        <w:tabs>
          <w:tab w:val="left" w:pos="1418"/>
          <w:tab w:val="left" w:pos="1701"/>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nuomos laikotarpis apima lygią ar ilgesnę nei 75 procentai turto ekonominio naudingo tarnavimo laiko dalį, net jei turto nuosavybės teisės nenumatoma perduoti; </w:t>
      </w:r>
    </w:p>
    <w:p w:rsidR="001D69BA" w:rsidRDefault="001D69BA" w:rsidP="001D69BA">
      <w:pPr>
        <w:widowControl/>
        <w:numPr>
          <w:ilvl w:val="1"/>
          <w:numId w:val="7"/>
        </w:numPr>
        <w:tabs>
          <w:tab w:val="left" w:pos="1418"/>
          <w:tab w:val="left" w:pos="1701"/>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nuomos laikotarpio pradžioje dabartinė pagrindinių nuomos įmokų vertė sudaro ne mažiau kaip 90 procentų nuomojamo turto tikrosios vertės; </w:t>
      </w:r>
    </w:p>
    <w:p w:rsidR="001D69BA" w:rsidRDefault="001D69BA" w:rsidP="001D69BA">
      <w:pPr>
        <w:widowControl/>
        <w:numPr>
          <w:ilvl w:val="1"/>
          <w:numId w:val="7"/>
        </w:numPr>
        <w:tabs>
          <w:tab w:val="left" w:pos="1418"/>
          <w:tab w:val="left" w:pos="1701"/>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nuomojamas turtas yra specifinės paskirties, šio turto savybės ir paskirtis negali būti lengvai pakeičiami ir, neatlikus didesnių pakeitimų, juo naudotis galėtų tik nuomininkas.</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Apskaitoje registruojamos finansinės nuomos įmokos yra padalijamos, išskiriant turto vertės dengimo sumą, palūkanas ir kitas įmokas (kompensuotinas nuomos sumas, neapibrėžtus nuomos mokesčius ir </w:t>
      </w:r>
      <w:proofErr w:type="spellStart"/>
      <w:r>
        <w:rPr>
          <w:rFonts w:ascii="Times New Roman" w:hAnsi="Times New Roman" w:cs="Times New Roman"/>
        </w:rPr>
        <w:t>pan</w:t>
      </w:r>
      <w:proofErr w:type="spellEnd"/>
      <w:r>
        <w:rPr>
          <w:rFonts w:ascii="Times New Roman" w:hAnsi="Times New Roman" w:cs="Times New Roman"/>
        </w:rPr>
        <w:t>., jei jie yra numatyti finansinės nuomos sutartyje).</w:t>
      </w:r>
    </w:p>
    <w:p w:rsidR="001D69BA" w:rsidRDefault="001D69BA" w:rsidP="001D69BA">
      <w:pPr>
        <w:numPr>
          <w:ilvl w:val="0"/>
          <w:numId w:val="7"/>
        </w:numPr>
        <w:shd w:val="clear" w:color="auto" w:fill="FFFFFF"/>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bCs/>
          <w:iCs/>
        </w:rPr>
      </w:pPr>
      <w:r>
        <w:rPr>
          <w:rFonts w:ascii="Times New Roman" w:hAnsi="Times New Roman" w:cs="Times New Roman"/>
        </w:rPr>
        <w:t>Palūkanos priskiriamos finansinės ir investicinės veiklos sąnaudoms ir apskaitoje yra registruojamos kaupimo principu, t. y. registruojamos tą ataskaitinį laikotarpį, už kurį apskaičiuojamos ateityje mokėtinos palūkanos. Finansinės nuomos būdu įsigyto ilgalaikio materialiojo turto nudėvimoji vertė paskirstoma per visą jo naudingo tarnavimo laiką, kaip nurodyta I</w:t>
      </w:r>
      <w:r>
        <w:rPr>
          <w:rFonts w:ascii="Times New Roman" w:hAnsi="Times New Roman" w:cs="Times New Roman"/>
          <w:bCs/>
          <w:iCs/>
        </w:rPr>
        <w:t xml:space="preserve">lgalaikio materialiojo turto apskaitos tvarkos apraše. </w:t>
      </w:r>
    </w:p>
    <w:p w:rsidR="001D69BA" w:rsidRDefault="001D69BA" w:rsidP="001D69BA">
      <w:pPr>
        <w:widowControl/>
        <w:numPr>
          <w:ilvl w:val="0"/>
          <w:numId w:val="7"/>
        </w:numPr>
        <w:tabs>
          <w:tab w:val="left" w:pos="1134"/>
          <w:tab w:val="left" w:pos="1701"/>
          <w:tab w:val="left" w:pos="2552"/>
        </w:tabs>
        <w:suppressAutoHyphens/>
        <w:spacing w:before="25" w:after="25" w:line="300" w:lineRule="auto"/>
        <w:ind w:firstLine="567"/>
        <w:jc w:val="both"/>
        <w:rPr>
          <w:rFonts w:ascii="Times New Roman" w:hAnsi="Times New Roman" w:cs="Times New Roman"/>
        </w:rPr>
      </w:pPr>
      <w:r>
        <w:rPr>
          <w:rFonts w:ascii="Times New Roman" w:hAnsi="Times New Roman" w:cs="Times New Roman"/>
        </w:rPr>
        <w:t>Jei parduotas turtas po pardavimo yra išsinuomojamas pagal atgalinės finansinės nuomos sutartį, pelnas, gautas pardavus turtą, tą laikotarpį, kurį turtas buvo parduotas, nepripažįstamas. Šiaulių miesto savivaldybės Apskaitos centras ir / ar įstaiga, kurios buhalterinė apskaita yra tvarkoma centralizuotai Apskaitos centro, pelną, gautą pardavus turtą, registruoja apskaitoje kaip būsimųjų laikotarpių pajamas ir nudėvi per likusį atgalinės finansinės nuomos būdu įsigyto turto naudingo tarnavimo laiką, apskaičiuota nusidėvėjimo suma mažindama nusidėvėjimo sąnaudas. Atgalinės finansinės nuomos sutarties ekonominė prasmė prilyginama paskolai, užtikrintai įkeitimu, kai finansinės nuomos paslaugos teikėjas skolina finansinės nuomos paslaugos gavėjui pinigus, kaip užstatą naudodamas nupirktą ir išnuomotą turtą.</w:t>
      </w:r>
    </w:p>
    <w:p w:rsidR="001D69BA" w:rsidRDefault="001D69BA" w:rsidP="001D69BA">
      <w:pPr>
        <w:numPr>
          <w:ilvl w:val="0"/>
          <w:numId w:val="7"/>
        </w:numPr>
        <w:shd w:val="clear" w:color="auto" w:fill="FFFFFF"/>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Nuoma laikoma veiklos nuoma, kai didžioji dalis su turto nuosavybe susijusios rizikos ir naudos neperduodama nuomininkui, o lieka nuomotojui. Nuomos įmokos pagal veiklos nuomos sutartį yra registruojamos apskaitoje kaip sąnaudos tolygiai (tiesiniu metodu) per nuomos laikotarpį.</w:t>
      </w:r>
    </w:p>
    <w:p w:rsidR="001D69BA" w:rsidRDefault="001D69BA" w:rsidP="001D69BA">
      <w:pPr>
        <w:pStyle w:val="Antrat1"/>
        <w:numPr>
          <w:ilvl w:val="0"/>
          <w:numId w:val="6"/>
        </w:numPr>
        <w:tabs>
          <w:tab w:val="num" w:pos="360"/>
        </w:tabs>
        <w:suppressAutoHyphens/>
        <w:spacing w:before="240" w:after="60"/>
        <w:ind w:left="0" w:firstLine="0"/>
        <w:rPr>
          <w:bCs/>
          <w:szCs w:val="24"/>
        </w:rPr>
      </w:pPr>
      <w:bookmarkStart w:id="15" w:name="_Toc333413260"/>
      <w:r>
        <w:rPr>
          <w:bCs/>
          <w:szCs w:val="24"/>
        </w:rPr>
        <w:t>Pajamos</w:t>
      </w:r>
      <w:bookmarkEnd w:id="15"/>
    </w:p>
    <w:p w:rsidR="001D69BA" w:rsidRDefault="001D69BA" w:rsidP="001D69BA">
      <w:pPr>
        <w:tabs>
          <w:tab w:val="left" w:pos="1701"/>
          <w:tab w:val="left" w:pos="2552"/>
        </w:tabs>
        <w:autoSpaceDE w:val="0"/>
        <w:spacing w:before="25" w:after="25"/>
        <w:ind w:firstLine="851"/>
        <w:jc w:val="both"/>
        <w:rPr>
          <w:rFonts w:ascii="Times New Roman" w:hAnsi="Times New Roman" w:cs="Times New Roman"/>
          <w:b/>
          <w:bCs/>
        </w:rPr>
      </w:pP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Pajamų apskaitos principai, metodai ir taisyklės apskaitos politikoje nustatyti vadovaujantis 10-ajame VSAFAS „Kitos pajamos“ (toliau – 10-asis VSAFAS) ir 20-ajame VSAFAS nustatyta tvarka.</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Pajamų apskaitai taikomas kaupimo principas. Finansavimo pajamos pripažįstamos tuo pačiu laikotarpiu, kai yra patiriamos su šiomis pajamomis susijusios sąnaudos. Registruojant visas su finansavimo pajamų pripažinimu susijusias ūkines operacijas, panaudojant detalizuojančius požymius būtina nurodyti, kokios valstybės funkcijos ir kurios programos vykdymui buvo pripažintos finansavimo pajamos.</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Pajamos, išskyrus finansavimo pajamas, pripažįstamos, kai tikėtina, kad Šiaulių miesto savivaldybės Apskaitos centras ir / ar įstaiga, kurios buhalterinė apskaita yra tvarkoma </w:t>
      </w:r>
      <w:r>
        <w:rPr>
          <w:rFonts w:ascii="Times New Roman" w:hAnsi="Times New Roman" w:cs="Times New Roman"/>
        </w:rPr>
        <w:lastRenderedPageBreak/>
        <w:t>centralizuotai Apskaitos centro, gaus su sandoriu susijusią ekonominę naudą, kai galima patikimai įvertinti pajamų sumą ir kai  galima patikimai įvertinti su pajamų uždirbimu susijusias sąnaudas.</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Pajamomis laikoma tik Šiaulių miesto savivaldybės Apskaitos centro ir / ar įstaigos, kurios buhalterinė apskaita yra tvarkoma centralizuotai Apskaitos centro, gaunama ekonominė nauda. Pajamomis nepripažįstamos trečiųjų asmenų vardu surinktos sumos, kadangi tai nėra  gaunama ekonominė nauda. Jei Šiaulių miesto savivaldybės Apskaitos centras ir / ar įstaiga, kurios buhalterinė apskaita yra tvarkoma centralizuotai Apskaitos centro, yra atsakinga už tam tikrų sumų administravimą ir surinkimą, tačiau teisės aktų nustatyta tvarka privalo pervesti surinktas sumas į biudžetą ir neturi teisės šių sumų ar jų dalies atgauti tą patį ar vėlesniais ataskaitiniais laikotarpiais, registruojant pajamas kartu registruojamos į biudžetą pervestinos sumos.</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Pajamos registruojamos apskaitoje ir rodomos finansinėse ataskaitose tą ataskaitinį laikotarpį, kurį yra uždirbamos, t. y. kurį suteikiamos paslaugos ar parduodamas turtas ar </w:t>
      </w:r>
      <w:proofErr w:type="spellStart"/>
      <w:r>
        <w:rPr>
          <w:rFonts w:ascii="Times New Roman" w:hAnsi="Times New Roman" w:cs="Times New Roman"/>
        </w:rPr>
        <w:t>kt</w:t>
      </w:r>
      <w:proofErr w:type="spellEnd"/>
      <w:r>
        <w:rPr>
          <w:rFonts w:ascii="Times New Roman" w:hAnsi="Times New Roman" w:cs="Times New Roman"/>
        </w:rPr>
        <w:t>., nepriklausomai nuo pinigų gavimo momento.</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Detaliau pajamų apskaitos ypatumai aprašomi Pajamų apskaitos tvarkos apraše, Finansavimo sumų apskaitos tvarkos apraše ir Finansinės ir investicinės veiklos pajamų ir sąnaudų apskaitos tvarkos apraše.</w:t>
      </w:r>
    </w:p>
    <w:p w:rsidR="001D69BA" w:rsidRDefault="001D69BA" w:rsidP="001D69BA">
      <w:pPr>
        <w:pStyle w:val="Antrat1"/>
        <w:numPr>
          <w:ilvl w:val="0"/>
          <w:numId w:val="6"/>
        </w:numPr>
        <w:tabs>
          <w:tab w:val="num" w:pos="360"/>
        </w:tabs>
        <w:suppressAutoHyphens/>
        <w:spacing w:before="240" w:after="60"/>
        <w:ind w:left="0" w:firstLine="0"/>
        <w:rPr>
          <w:bCs/>
          <w:szCs w:val="24"/>
        </w:rPr>
      </w:pPr>
      <w:bookmarkStart w:id="16" w:name="_Toc333413261"/>
      <w:r>
        <w:rPr>
          <w:bCs/>
          <w:szCs w:val="24"/>
        </w:rPr>
        <w:t>Sąnaudos</w:t>
      </w:r>
      <w:bookmarkEnd w:id="16"/>
    </w:p>
    <w:p w:rsidR="001D69BA" w:rsidRDefault="001D69BA" w:rsidP="001D69BA">
      <w:pPr>
        <w:tabs>
          <w:tab w:val="left" w:pos="1701"/>
          <w:tab w:val="left" w:pos="2552"/>
        </w:tabs>
        <w:autoSpaceDE w:val="0"/>
        <w:spacing w:before="25" w:after="25"/>
        <w:ind w:firstLine="567"/>
        <w:jc w:val="both"/>
        <w:rPr>
          <w:rFonts w:ascii="Times New Roman" w:hAnsi="Times New Roman" w:cs="Times New Roman"/>
          <w:b/>
          <w:bCs/>
          <w:color w:val="FF0000"/>
        </w:rPr>
      </w:pP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Sąnaudų apskaitos principai, metodai ir taisyklės nustatyti 11-ajame viešojo sektoriaus apskaitos ir finansinės atskaitomybės standarte „Sąnaudos“ (toliau – 11-asis VSAFAS). Sąnaudų, susijusių su konkrečių turto, finansavimo sumų ir įsipareigojimų straipsnių apskaita, principai nustatyti šių straipsnių apskaitą reglamentuojančiuose VSAFAS.</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Sąnaudos apskaitoje pripažįstamos vadovaujantis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Sąnaudų dydis įvertinamas sumokėta arba mokėtina pinigų arba jų ekvivalentų suma. Tais atvejais, kai numatytas ilgas atsiskaitymo laikotarpis ir palūkanos nėra išskirtos iš bendros mokėtinos sumos, sąnaudų dydis įvertinamas diskontuojant atsiskaitymo sumą taikant rinkos palūkanų normą.</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iCs/>
        </w:rPr>
      </w:pPr>
      <w:r>
        <w:rPr>
          <w:rFonts w:ascii="Times New Roman" w:hAnsi="Times New Roman" w:cs="Times New Roman"/>
        </w:rPr>
        <w:t>Detaliau sąnaudų apskaitos ypatumai aprašomi Sąnaudų apskaitos tvarkos apraše ir Finansinės ir investicinės veiklos pajamų ir sąnaudų apskaitos tvarkos apraše</w:t>
      </w:r>
      <w:r>
        <w:rPr>
          <w:rFonts w:ascii="Times New Roman" w:hAnsi="Times New Roman" w:cs="Times New Roman"/>
          <w:iCs/>
        </w:rPr>
        <w:t>.</w:t>
      </w:r>
    </w:p>
    <w:p w:rsidR="001D69BA" w:rsidRDefault="001D69BA" w:rsidP="001D69BA">
      <w:pPr>
        <w:pStyle w:val="Antrat1"/>
        <w:numPr>
          <w:ilvl w:val="0"/>
          <w:numId w:val="6"/>
        </w:numPr>
        <w:tabs>
          <w:tab w:val="num" w:pos="360"/>
        </w:tabs>
        <w:suppressAutoHyphens/>
        <w:spacing w:before="240" w:after="60"/>
        <w:ind w:left="0" w:firstLine="0"/>
        <w:rPr>
          <w:bCs/>
          <w:szCs w:val="24"/>
        </w:rPr>
      </w:pPr>
      <w:bookmarkStart w:id="17" w:name="_Toc333413262"/>
      <w:r>
        <w:rPr>
          <w:bCs/>
          <w:szCs w:val="24"/>
        </w:rPr>
        <w:t>Sandoriai užsienio valiuta</w:t>
      </w:r>
      <w:bookmarkEnd w:id="17"/>
    </w:p>
    <w:p w:rsidR="001D69BA" w:rsidRDefault="001D69BA" w:rsidP="001D69BA">
      <w:pPr>
        <w:tabs>
          <w:tab w:val="left" w:pos="1701"/>
          <w:tab w:val="left" w:pos="2552"/>
        </w:tabs>
        <w:autoSpaceDE w:val="0"/>
        <w:spacing w:before="25" w:after="25"/>
        <w:ind w:firstLine="851"/>
        <w:jc w:val="both"/>
        <w:rPr>
          <w:rFonts w:ascii="Times New Roman" w:hAnsi="Times New Roman" w:cs="Times New Roman"/>
          <w:b/>
          <w:bCs/>
        </w:rPr>
      </w:pP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Sandorių užsienio valiuta apskaitos principai nustatyti 21-ajame viešojo sektoriaus ir finansinės atskaitomybės standarte „Sandoriai užsienio valiuta“ (toliau – 21-asis VSAFAS).</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Sandoriai užsienio valiuta pirminio pripažinimo metu registruojami apskaitoje Buhalterinės apskaitos įstatyme nustatyta tvarka. Pelnas ir nuostoliai iš sandorių užsienio valiuta bei </w:t>
      </w:r>
      <w:r>
        <w:rPr>
          <w:rFonts w:ascii="Times New Roman" w:hAnsi="Times New Roman" w:cs="Times New Roman"/>
        </w:rPr>
        <w:lastRenderedPageBreak/>
        <w:t>iš užsienio valiuta išreikšto turto ir įsipareigojimų likučių perkainojimo dieną yra registruojami finansinės ir investicinės veiklos pajamų ar sąnaudų sąskaitose.</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Valiutinių straipsnių likučiai ataskaitinio laikotarpio pabaigoje perskaičiuojami pagal Buhalterinės apskaitos įstatyme numatytą tvarką. </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Detaliau užsienio valiutos kurso pasikeitimo apskaitos ypatumai aprašomi Finansinės ir investicinės veiklos pajamų ir sąnaudų apskaitos tvarkos apraše.</w:t>
      </w:r>
    </w:p>
    <w:p w:rsidR="001D69BA" w:rsidRDefault="001D69BA" w:rsidP="001D69BA">
      <w:pPr>
        <w:pStyle w:val="Antrat1"/>
        <w:numPr>
          <w:ilvl w:val="0"/>
          <w:numId w:val="6"/>
        </w:numPr>
        <w:tabs>
          <w:tab w:val="num" w:pos="360"/>
        </w:tabs>
        <w:suppressAutoHyphens/>
        <w:spacing w:before="240" w:after="60"/>
        <w:ind w:left="0" w:firstLine="0"/>
        <w:rPr>
          <w:bCs/>
          <w:szCs w:val="24"/>
        </w:rPr>
      </w:pPr>
      <w:bookmarkStart w:id="18" w:name="_Toc333413263"/>
      <w:r>
        <w:rPr>
          <w:bCs/>
          <w:szCs w:val="24"/>
        </w:rPr>
        <w:t>Turto nuvertėjimas</w:t>
      </w:r>
      <w:bookmarkEnd w:id="18"/>
    </w:p>
    <w:p w:rsidR="001D69BA" w:rsidRDefault="001D69BA" w:rsidP="001D69BA">
      <w:pPr>
        <w:tabs>
          <w:tab w:val="left" w:pos="1701"/>
          <w:tab w:val="left" w:pos="2552"/>
        </w:tabs>
        <w:autoSpaceDE w:val="0"/>
        <w:spacing w:before="25" w:after="25"/>
        <w:ind w:firstLine="851"/>
        <w:jc w:val="both"/>
        <w:rPr>
          <w:rFonts w:ascii="Times New Roman" w:hAnsi="Times New Roman" w:cs="Times New Roman"/>
          <w:b/>
          <w:bCs/>
        </w:rPr>
      </w:pP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Turto nuvertėjimo apskaitos principai, metodai ir taisyklės nustatyti 8-ajame VSAFAS, 17-ajame VSAFAS ir 22-ajame VSAFAS.</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Nuostoliai dėl turto nuvertėjimo apskaitoje pripažįstami pagal nuvertėjimo požymius. Sudarydama finansinių ataskaitų rinkinį, Šiaulių miesto savivaldybės Apskaitos centras ir / ar įstaiga, kurios buhalterinė apskaita yra tvarkoma centralizuotai Apskaitos centro, nustato, ar yra turto nuvertėjimo požymių. Jeigu yra vidinių ar išorinių nuvertėjimo požymių, nustatoma turto atsiperkamoji vertė ir palyginama su turto balansine verte.</w:t>
      </w:r>
    </w:p>
    <w:p w:rsidR="001D69BA" w:rsidRDefault="001D69BA" w:rsidP="001D69BA">
      <w:pPr>
        <w:widowControl/>
        <w:numPr>
          <w:ilvl w:val="0"/>
          <w:numId w:val="7"/>
        </w:numPr>
        <w:tabs>
          <w:tab w:val="left" w:pos="1134"/>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Nuostoliai dėl turto nuvertėjimo apskaitoje registruojami apskaičiuotų nuostolių suma mažinant turto balansinę vertę bei ta pačia suma registruojant ataskaitinio laikotarpio pagrindinės arba kitos veiklos sąnaudas.</w:t>
      </w: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Turto nuvertėjimas nėra tolygus turto nurašymui. Turto nuvertėjimo atveju yra mažinama turto vieneto balansinė vertė, tačiau išsaugoma informacija apie turto įsigijimo savikainą, t. y. turto vieneto įsigijimo savikaina apskaitoje lieka tokia pati kaip iki nuvertėjimo nustatymo, o nuvertėjimas registruojamas atskiroje sąskaitoje. Turto nuvertėjimas apskaitoje yra registruojamas ne didesne verte nei turto balansinė vertė.</w:t>
      </w: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Kai vėlesnį ataskaitinį laikotarpį, pasikeitus aplinkybėms, atkuriama anksčiau pripažinta turto nuvertėjimo suma, turto balansinė vertė po nuvertėjimo atkūrimo negali viršyti jo balansinės vertės, kuri būtų buvusi, jeigu turto nuvertėjimas nebūtų buvęs pripažintas.</w:t>
      </w: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Pripažinus ilgalaikio materialiojo ar nematerialiojo turto nuvertėjimo nuostolį, perskaičiuojamos būsimiesiems ataskaitiniam laikotarpiams tenkančios turto nusidėvėjimo (amortizacijos) sumos, kad turto nudėvimoji (amortizuojamoji) vertė po nuvertėjimo būtų tolygiai paskirstyta per visą likusį jo naudingo tarnavimo laiką, t. y. nuvertėjimo suma nudėvima per likusį naudingo tarnavimo laiką, mažinant nusidėvėjimo sąnaudas.</w:t>
      </w: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Detaliau turto nuvertėjimo apskaitos ypatumai aprašomi Ilgalaikio materialiojo turto apskaitos tvarkos apraše, Nematerialiojo turto apskaitos tvarkos apraše, Atsargų apskaitos tvarkos apraše bei Išankstinių apmokėjimų bei gautinų sumų apskaitos tvarkos apraše.</w:t>
      </w:r>
    </w:p>
    <w:p w:rsidR="001D69BA" w:rsidRDefault="001D69BA" w:rsidP="001D69BA">
      <w:pPr>
        <w:pStyle w:val="Antrat1"/>
        <w:numPr>
          <w:ilvl w:val="0"/>
          <w:numId w:val="6"/>
        </w:numPr>
        <w:tabs>
          <w:tab w:val="num" w:pos="360"/>
        </w:tabs>
        <w:suppressAutoHyphens/>
        <w:spacing w:before="240" w:after="60"/>
        <w:ind w:left="0" w:firstLine="0"/>
        <w:rPr>
          <w:bCs/>
          <w:szCs w:val="24"/>
        </w:rPr>
      </w:pPr>
      <w:bookmarkStart w:id="19" w:name="_Toc333413264"/>
      <w:r>
        <w:rPr>
          <w:bCs/>
          <w:szCs w:val="24"/>
        </w:rPr>
        <w:t>Neapibrėžtieji įsipareigojimai ir neapibrėžtasis turtas</w:t>
      </w:r>
      <w:bookmarkEnd w:id="19"/>
    </w:p>
    <w:p w:rsidR="001D69BA" w:rsidRDefault="001D69BA" w:rsidP="001D69BA">
      <w:pPr>
        <w:tabs>
          <w:tab w:val="left" w:pos="1701"/>
          <w:tab w:val="left" w:pos="2552"/>
        </w:tabs>
        <w:autoSpaceDE w:val="0"/>
        <w:spacing w:before="25" w:after="25"/>
        <w:ind w:firstLine="851"/>
        <w:jc w:val="both"/>
        <w:rPr>
          <w:rFonts w:ascii="Times New Roman" w:hAnsi="Times New Roman" w:cs="Times New Roman"/>
          <w:b/>
          <w:bCs/>
        </w:rPr>
      </w:pP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Neapibrėžtųjų įsipareigojimų ir neapibrėžtojo turto apskaitos principai nustatyti 18-ajame VSAFAS.</w:t>
      </w: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Šiaulių miesto savivaldybės Apskaitos centras ir / ar įstaiga, kurios buhalterinė apskaita yra tvarkoma centralizuotai Apskaitos centro, nepripažįsta neapibrėžtųjų įsipareigojimų ir </w:t>
      </w:r>
      <w:r>
        <w:rPr>
          <w:rFonts w:ascii="Times New Roman" w:hAnsi="Times New Roman" w:cs="Times New Roman"/>
        </w:rPr>
        <w:lastRenderedPageBreak/>
        <w:t>neapibrėžtojo turto balanso sąskaitose, tačiau neapibrėžtieji įsipareigojimai ir neapibrėžtasis turtas registruojami nebalansinėse sąskaitose. Neapibrėžtieji įsipareigojimai nerodomi nei finansinės būklės ataskaitoje, nei veiklos rezultatų ataskaitoje, o informacija apie juos pateikiama aiškinamajame rašte. Kai tikimybė, kad reikės panaudoti turtą įsipareigojimui apmokėti yra labai maža, informacija apie juos aiškinamajame rašte nebūtina. Informacija apie neapibrėžtąjį turtą ir įsipareigojimus turi būti peržiūrima ne rečiau negu kiekvieno ataskaitinio laikotarpio paskutinę dieną, siekiant užtikrinti, kad pasikeitimai būtų tinkamai atskleisti aiškinamajame rašte.</w:t>
      </w: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Neapibrėžtasis turtas finansinėse ataskaitose neparodomas, kol nėra aišku, ar jis duos Šiaulių miesto savivaldybės Apskaitos centrui ir / ar įstaigai, kurios buhalterinė apskaita yra tvarkoma centralizuotai Apskaitos centro, ekonominės naudos. Jei ekonominė nauda tikėtina, tačiau nėra žinoma, kad ji bus gauta, informacija apie neapibrėžtąjį turtą pateikiama aiškinamajame rašte.</w:t>
      </w:r>
    </w:p>
    <w:p w:rsidR="001D69BA" w:rsidRDefault="001D69BA" w:rsidP="001D69BA">
      <w:pPr>
        <w:pStyle w:val="Antrat1"/>
        <w:numPr>
          <w:ilvl w:val="0"/>
          <w:numId w:val="6"/>
        </w:numPr>
        <w:tabs>
          <w:tab w:val="num" w:pos="360"/>
        </w:tabs>
        <w:suppressAutoHyphens/>
        <w:spacing w:before="240" w:after="60"/>
        <w:ind w:left="0" w:firstLine="0"/>
        <w:rPr>
          <w:szCs w:val="24"/>
        </w:rPr>
      </w:pPr>
      <w:bookmarkStart w:id="20" w:name="_Toc333413265"/>
      <w:r>
        <w:rPr>
          <w:szCs w:val="24"/>
        </w:rPr>
        <w:t>Grynasis turtas</w:t>
      </w:r>
      <w:bookmarkEnd w:id="20"/>
    </w:p>
    <w:p w:rsidR="001D69BA" w:rsidRDefault="001D69BA" w:rsidP="001D69BA">
      <w:pPr>
        <w:spacing w:line="320" w:lineRule="atLeast"/>
        <w:ind w:firstLine="567"/>
        <w:jc w:val="both"/>
        <w:rPr>
          <w:rFonts w:ascii="Times New Roman" w:hAnsi="Times New Roman" w:cs="Times New Roman"/>
          <w:color w:val="FF0000"/>
        </w:rPr>
      </w:pPr>
    </w:p>
    <w:p w:rsidR="001D69BA" w:rsidRDefault="001D69BA" w:rsidP="001D69BA">
      <w:pPr>
        <w:widowControl/>
        <w:numPr>
          <w:ilvl w:val="0"/>
          <w:numId w:val="7"/>
        </w:numPr>
        <w:tabs>
          <w:tab w:val="left" w:pos="1276"/>
          <w:tab w:val="left" w:pos="1800"/>
        </w:tabs>
        <w:autoSpaceDE w:val="0"/>
        <w:autoSpaceDN w:val="0"/>
        <w:adjustRightInd w:val="0"/>
        <w:spacing w:line="300" w:lineRule="auto"/>
        <w:ind w:firstLine="567"/>
        <w:jc w:val="both"/>
        <w:rPr>
          <w:rFonts w:ascii="Times New Roman" w:eastAsia="Calibri" w:hAnsi="Times New Roman" w:cs="Times New Roman"/>
        </w:rPr>
      </w:pPr>
      <w:r>
        <w:rPr>
          <w:rFonts w:ascii="Times New Roman" w:eastAsia="Calibri" w:hAnsi="Times New Roman" w:cs="Times New Roman"/>
        </w:rPr>
        <w:t>Finansinių metų pradžioje praėjusių metų perviršis ar deficitas, užregistruotas sąskaitoje 3110001 „Einamųjų metų perviršis ar deficitas (išskyrus nuosavybės metodo įtaką)“ , pripažįstamas ankstesnių metų perviršiu ar deficitu ir perkeliamas į 3110002 sąskaitą „ Sukauptas ankstesnių metų perviršis ar deficitas (išskyrus nuosavybės metodo įtaką)“, o nuosavybės metodo įtaka užregistruota sąskaitoje 3120001 „Einamųjų metų nuosavybės metodo įtaka“ pripažįstama ankstesnių metų nuosavybės metodo įtaka ir perkeliama į 3120002 sąskaitą  „Sukaupta ankstesnių metų nuosavybės metodo įtaka“.</w:t>
      </w:r>
    </w:p>
    <w:p w:rsidR="001D69BA" w:rsidRDefault="001D69BA" w:rsidP="001D69BA">
      <w:pPr>
        <w:pStyle w:val="Antrat1"/>
        <w:numPr>
          <w:ilvl w:val="0"/>
          <w:numId w:val="6"/>
        </w:numPr>
        <w:tabs>
          <w:tab w:val="num" w:pos="360"/>
        </w:tabs>
        <w:suppressAutoHyphens/>
        <w:spacing w:before="240" w:after="60"/>
        <w:ind w:left="0" w:firstLine="0"/>
        <w:rPr>
          <w:bCs/>
          <w:szCs w:val="24"/>
        </w:rPr>
      </w:pPr>
      <w:bookmarkStart w:id="21" w:name="_Toc333413266"/>
      <w:proofErr w:type="spellStart"/>
      <w:r>
        <w:rPr>
          <w:bCs/>
          <w:szCs w:val="24"/>
        </w:rPr>
        <w:t>Poataskaitiniai</w:t>
      </w:r>
      <w:proofErr w:type="spellEnd"/>
      <w:r>
        <w:rPr>
          <w:bCs/>
          <w:szCs w:val="24"/>
        </w:rPr>
        <w:t xml:space="preserve"> įvykiai</w:t>
      </w:r>
      <w:bookmarkEnd w:id="21"/>
    </w:p>
    <w:p w:rsidR="001D69BA" w:rsidRDefault="001D69BA" w:rsidP="001D69BA">
      <w:pPr>
        <w:tabs>
          <w:tab w:val="left" w:pos="1701"/>
          <w:tab w:val="left" w:pos="2552"/>
        </w:tabs>
        <w:autoSpaceDE w:val="0"/>
        <w:spacing w:before="25" w:after="25"/>
        <w:ind w:firstLine="851"/>
        <w:jc w:val="both"/>
        <w:rPr>
          <w:rFonts w:ascii="Times New Roman" w:hAnsi="Times New Roman" w:cs="Times New Roman"/>
          <w:b/>
          <w:bCs/>
        </w:rPr>
      </w:pP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proofErr w:type="spellStart"/>
      <w:r>
        <w:rPr>
          <w:rFonts w:ascii="Times New Roman" w:hAnsi="Times New Roman" w:cs="Times New Roman"/>
        </w:rPr>
        <w:t>Poataskaitinių</w:t>
      </w:r>
      <w:proofErr w:type="spellEnd"/>
      <w:r>
        <w:rPr>
          <w:rFonts w:ascii="Times New Roman" w:hAnsi="Times New Roman" w:cs="Times New Roman"/>
        </w:rPr>
        <w:t xml:space="preserve"> įvykių apskaitos ir pateikimo finansinėse ataskaitose taisyklės pateiktos 18-ajame VSAFAS.</w:t>
      </w: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proofErr w:type="spellStart"/>
      <w:r>
        <w:rPr>
          <w:rFonts w:ascii="Times New Roman" w:hAnsi="Times New Roman" w:cs="Times New Roman"/>
        </w:rPr>
        <w:t>Poataskaitiniai</w:t>
      </w:r>
      <w:proofErr w:type="spellEnd"/>
      <w:r>
        <w:rPr>
          <w:rFonts w:ascii="Times New Roman" w:hAnsi="Times New Roman" w:cs="Times New Roman"/>
        </w:rPr>
        <w:t xml:space="preserve"> įvykiai, kurie suteikia papildomos informacijos apie Šiaulių miesto savivaldybės Apskaitos centro ir / ar įstaigos, kurios buhalterinė apskaita yra tvarkoma centralizuotai Apskaitos centro, finansinę padėtį paskutinę ataskaitinio laikotarpio dieną yra laikomi koreguojančiais įvykiais ir atsižvelgiant į jų įtakos reikšmę parengtoms finansinėms ataskaitoms, yra parodomi finansinės būklės, veiklos rezultatų ir pinigų srautų ataskaitose. </w:t>
      </w: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Nekoreguojantys </w:t>
      </w:r>
      <w:proofErr w:type="spellStart"/>
      <w:r>
        <w:rPr>
          <w:rFonts w:ascii="Times New Roman" w:hAnsi="Times New Roman" w:cs="Times New Roman"/>
        </w:rPr>
        <w:t>poataskaitiniai</w:t>
      </w:r>
      <w:proofErr w:type="spellEnd"/>
      <w:r>
        <w:rPr>
          <w:rFonts w:ascii="Times New Roman" w:hAnsi="Times New Roman" w:cs="Times New Roman"/>
        </w:rPr>
        <w:t xml:space="preserve"> įvykiai aprašomi aiškinamajame rašte, kai jie reikšmingi.</w:t>
      </w:r>
    </w:p>
    <w:p w:rsidR="001D69BA" w:rsidRDefault="001D69BA" w:rsidP="001D69BA">
      <w:pPr>
        <w:pStyle w:val="Antrat1"/>
        <w:numPr>
          <w:ilvl w:val="0"/>
          <w:numId w:val="6"/>
        </w:numPr>
        <w:tabs>
          <w:tab w:val="num" w:pos="360"/>
        </w:tabs>
        <w:suppressAutoHyphens/>
        <w:spacing w:before="240" w:after="60"/>
        <w:ind w:left="0" w:firstLine="0"/>
        <w:rPr>
          <w:bCs/>
          <w:szCs w:val="24"/>
        </w:rPr>
      </w:pPr>
      <w:bookmarkStart w:id="22" w:name="_Toc333413267"/>
      <w:r>
        <w:rPr>
          <w:bCs/>
          <w:szCs w:val="24"/>
        </w:rPr>
        <w:t>Tarpusavio užskaitos ir palyginamieji skaičiai</w:t>
      </w:r>
      <w:bookmarkEnd w:id="22"/>
    </w:p>
    <w:p w:rsidR="001D69BA" w:rsidRDefault="001D69BA" w:rsidP="001D69BA">
      <w:pPr>
        <w:tabs>
          <w:tab w:val="left" w:pos="1701"/>
          <w:tab w:val="left" w:pos="2552"/>
        </w:tabs>
        <w:autoSpaceDE w:val="0"/>
        <w:spacing w:before="25" w:after="25"/>
        <w:ind w:firstLine="851"/>
        <w:jc w:val="both"/>
        <w:rPr>
          <w:rFonts w:ascii="Times New Roman" w:hAnsi="Times New Roman" w:cs="Times New Roman"/>
          <w:b/>
          <w:bCs/>
        </w:rPr>
      </w:pP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709"/>
        <w:jc w:val="both"/>
        <w:rPr>
          <w:rFonts w:ascii="Times New Roman" w:hAnsi="Times New Roman" w:cs="Times New Roman"/>
        </w:rPr>
      </w:pPr>
      <w:r>
        <w:rPr>
          <w:rFonts w:ascii="Times New Roman" w:hAnsi="Times New Roman" w:cs="Times New Roman"/>
        </w:rPr>
        <w:t>Sudarant finansinių ataskaitų rinkinį, turtas ir įsipareigojimai bei pajamos ir sąnaudos nėra užskaitomos tarpusavyje, išskyrus atvejus, kai konkretus VSAFAS reikalauja būtent tokios užskaitos (pavyzdžiui, dėl draudiminio įvykio patirtos sąnaudos yra užskaitomos su gauta draudimo išmoka).</w:t>
      </w: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709"/>
        <w:jc w:val="both"/>
        <w:rPr>
          <w:rFonts w:ascii="Times New Roman" w:hAnsi="Times New Roman" w:cs="Times New Roman"/>
        </w:rPr>
      </w:pPr>
      <w:r>
        <w:rPr>
          <w:rFonts w:ascii="Times New Roman" w:hAnsi="Times New Roman" w:cs="Times New Roman"/>
        </w:rPr>
        <w:t>Palyginamieji skaičiai yra koreguojami, kad atitiktų ataskaitinių metų finansinius rezultatus. Apskaitos principų bei apskaitinių įverčių pasikeitimai, sudarant ataskaitinio laikotarpio finansinių ataskaitų rinkinį, pateikiami aiškinamajame rašte.</w:t>
      </w:r>
    </w:p>
    <w:p w:rsidR="001D69BA" w:rsidRDefault="001D69BA" w:rsidP="001D69BA">
      <w:pPr>
        <w:tabs>
          <w:tab w:val="left" w:pos="1276"/>
          <w:tab w:val="left" w:pos="1701"/>
          <w:tab w:val="left" w:pos="2552"/>
        </w:tabs>
        <w:suppressAutoHyphens/>
        <w:autoSpaceDE w:val="0"/>
        <w:spacing w:before="25" w:after="25" w:line="300" w:lineRule="auto"/>
        <w:ind w:left="709"/>
        <w:jc w:val="both"/>
        <w:rPr>
          <w:rFonts w:ascii="Times New Roman" w:hAnsi="Times New Roman" w:cs="Times New Roman"/>
        </w:rPr>
      </w:pPr>
    </w:p>
    <w:p w:rsidR="001D69BA" w:rsidRDefault="001D69BA" w:rsidP="001D69BA">
      <w:pPr>
        <w:pStyle w:val="Antrat1"/>
        <w:numPr>
          <w:ilvl w:val="0"/>
          <w:numId w:val="6"/>
        </w:numPr>
        <w:suppressAutoHyphens/>
        <w:spacing w:before="240" w:after="60"/>
        <w:ind w:left="0" w:firstLine="273"/>
        <w:rPr>
          <w:bCs/>
          <w:szCs w:val="24"/>
        </w:rPr>
      </w:pPr>
      <w:bookmarkStart w:id="23" w:name="_Toc333413268"/>
      <w:r>
        <w:rPr>
          <w:bCs/>
          <w:szCs w:val="24"/>
        </w:rPr>
        <w:t>Informacija apie segmentus</w:t>
      </w:r>
      <w:bookmarkEnd w:id="23"/>
    </w:p>
    <w:p w:rsidR="001D69BA" w:rsidRDefault="001D69BA" w:rsidP="001D69BA">
      <w:pPr>
        <w:tabs>
          <w:tab w:val="left" w:pos="1701"/>
          <w:tab w:val="left" w:pos="2552"/>
        </w:tabs>
        <w:autoSpaceDE w:val="0"/>
        <w:spacing w:before="25" w:after="25"/>
        <w:ind w:firstLine="851"/>
        <w:jc w:val="both"/>
        <w:rPr>
          <w:rFonts w:ascii="Times New Roman" w:hAnsi="Times New Roman" w:cs="Times New Roman"/>
          <w:b/>
          <w:bCs/>
        </w:rPr>
      </w:pP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Informacijos pagal segmentus pateikimo finansinėse ataskaitose reikalavimai nustatyti 25-ajame viešojo sektoriaus apskaitos ir finansinės atskaitomybės standarte „Segmentai“, (toliau – 25-asis VSAFAS).</w:t>
      </w: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Šiaulių miesto savivaldybės Apskaitos centras ir / ar įstaiga, kurios buhalterinė apskaita yra tvarkoma centralizuotai Apskaitos centro, tvarko apskaitą pagal segmentus. Segmentai – veiklos dalys, apimančios vienarūšes teikiamas viešąsias paslaugas pagal vykdomas valstybės funkcijas, programas ir valstybės biudžetų išlaidų ekonomines klasifikacijas. </w:t>
      </w:r>
    </w:p>
    <w:p w:rsidR="001D69BA" w:rsidRDefault="001D69BA" w:rsidP="001D69BA">
      <w:pPr>
        <w:widowControl/>
        <w:numPr>
          <w:ilvl w:val="0"/>
          <w:numId w:val="7"/>
        </w:numPr>
        <w:tabs>
          <w:tab w:val="left" w:pos="1276"/>
          <w:tab w:val="left" w:pos="1701"/>
          <w:tab w:val="left" w:pos="2693"/>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Šiaulių miesto savivaldybės Apskaitos centras ir / ar įstaigos, kurių buhalterinė apskaita yra tvarkoma centralizuotai Apskaitos centro, išskiria šiuos segmentus:</w:t>
      </w:r>
    </w:p>
    <w:p w:rsidR="001D69BA" w:rsidRDefault="001D69BA" w:rsidP="001D69BA">
      <w:pPr>
        <w:widowControl/>
        <w:numPr>
          <w:ilvl w:val="1"/>
          <w:numId w:val="7"/>
        </w:numPr>
        <w:tabs>
          <w:tab w:val="left" w:pos="1560"/>
          <w:tab w:val="left" w:pos="1701"/>
          <w:tab w:val="left" w:pos="2693"/>
        </w:tabs>
        <w:suppressAutoHyphens/>
        <w:spacing w:before="25" w:after="25" w:line="300" w:lineRule="auto"/>
        <w:ind w:left="0" w:firstLine="567"/>
        <w:jc w:val="both"/>
        <w:rPr>
          <w:rFonts w:ascii="Times New Roman" w:hAnsi="Times New Roman" w:cs="Times New Roman"/>
        </w:rPr>
      </w:pPr>
      <w:r>
        <w:rPr>
          <w:rFonts w:ascii="Times New Roman" w:hAnsi="Times New Roman" w:cs="Times New Roman"/>
        </w:rPr>
        <w:t>bendrųjų valstybės paslaugų;</w:t>
      </w:r>
    </w:p>
    <w:p w:rsidR="001D69BA" w:rsidRDefault="001D69BA" w:rsidP="001D69BA">
      <w:pPr>
        <w:widowControl/>
        <w:numPr>
          <w:ilvl w:val="1"/>
          <w:numId w:val="7"/>
        </w:numPr>
        <w:tabs>
          <w:tab w:val="left" w:pos="1560"/>
          <w:tab w:val="left" w:pos="1701"/>
          <w:tab w:val="left" w:pos="2693"/>
        </w:tabs>
        <w:suppressAutoHyphens/>
        <w:spacing w:before="25" w:after="25" w:line="300" w:lineRule="auto"/>
        <w:ind w:left="0" w:firstLine="567"/>
        <w:jc w:val="both"/>
        <w:rPr>
          <w:rFonts w:ascii="Times New Roman" w:hAnsi="Times New Roman" w:cs="Times New Roman"/>
        </w:rPr>
      </w:pPr>
      <w:r>
        <w:rPr>
          <w:rFonts w:ascii="Times New Roman" w:hAnsi="Times New Roman" w:cs="Times New Roman"/>
        </w:rPr>
        <w:t>gynybos;</w:t>
      </w:r>
    </w:p>
    <w:p w:rsidR="001D69BA" w:rsidRDefault="001D69BA" w:rsidP="001D69BA">
      <w:pPr>
        <w:widowControl/>
        <w:numPr>
          <w:ilvl w:val="1"/>
          <w:numId w:val="7"/>
        </w:numPr>
        <w:tabs>
          <w:tab w:val="left" w:pos="1560"/>
          <w:tab w:val="left" w:pos="1701"/>
          <w:tab w:val="left" w:pos="2693"/>
        </w:tabs>
        <w:suppressAutoHyphens/>
        <w:spacing w:before="25" w:after="25" w:line="300" w:lineRule="auto"/>
        <w:ind w:left="0" w:firstLine="567"/>
        <w:jc w:val="both"/>
        <w:rPr>
          <w:rFonts w:ascii="Times New Roman" w:hAnsi="Times New Roman" w:cs="Times New Roman"/>
        </w:rPr>
      </w:pPr>
      <w:r>
        <w:rPr>
          <w:rFonts w:ascii="Times New Roman" w:hAnsi="Times New Roman" w:cs="Times New Roman"/>
        </w:rPr>
        <w:t>viešosios tvarkos ir visuomenės apsaugos;</w:t>
      </w:r>
    </w:p>
    <w:p w:rsidR="001D69BA" w:rsidRDefault="001D69BA" w:rsidP="001D69BA">
      <w:pPr>
        <w:widowControl/>
        <w:numPr>
          <w:ilvl w:val="1"/>
          <w:numId w:val="7"/>
        </w:numPr>
        <w:tabs>
          <w:tab w:val="left" w:pos="1560"/>
          <w:tab w:val="left" w:pos="1701"/>
          <w:tab w:val="left" w:pos="2693"/>
        </w:tabs>
        <w:suppressAutoHyphens/>
        <w:spacing w:before="25" w:after="25" w:line="300" w:lineRule="auto"/>
        <w:ind w:left="0" w:firstLine="567"/>
        <w:jc w:val="both"/>
        <w:rPr>
          <w:rFonts w:ascii="Times New Roman" w:hAnsi="Times New Roman" w:cs="Times New Roman"/>
        </w:rPr>
      </w:pPr>
      <w:r>
        <w:rPr>
          <w:rFonts w:ascii="Times New Roman" w:hAnsi="Times New Roman" w:cs="Times New Roman"/>
        </w:rPr>
        <w:t>ekonomikos;</w:t>
      </w:r>
    </w:p>
    <w:p w:rsidR="001D69BA" w:rsidRDefault="001D69BA" w:rsidP="001D69BA">
      <w:pPr>
        <w:widowControl/>
        <w:numPr>
          <w:ilvl w:val="1"/>
          <w:numId w:val="7"/>
        </w:numPr>
        <w:tabs>
          <w:tab w:val="left" w:pos="1560"/>
          <w:tab w:val="left" w:pos="1701"/>
          <w:tab w:val="left" w:pos="2693"/>
        </w:tabs>
        <w:suppressAutoHyphens/>
        <w:spacing w:before="25" w:after="25" w:line="300" w:lineRule="auto"/>
        <w:ind w:left="0" w:firstLine="567"/>
        <w:jc w:val="both"/>
        <w:rPr>
          <w:rFonts w:ascii="Times New Roman" w:hAnsi="Times New Roman" w:cs="Times New Roman"/>
        </w:rPr>
      </w:pPr>
      <w:r>
        <w:rPr>
          <w:rFonts w:ascii="Times New Roman" w:hAnsi="Times New Roman" w:cs="Times New Roman"/>
        </w:rPr>
        <w:t>aplinkos apsaugos;</w:t>
      </w:r>
    </w:p>
    <w:p w:rsidR="001D69BA" w:rsidRDefault="001D69BA" w:rsidP="001D69BA">
      <w:pPr>
        <w:widowControl/>
        <w:numPr>
          <w:ilvl w:val="1"/>
          <w:numId w:val="7"/>
        </w:numPr>
        <w:tabs>
          <w:tab w:val="left" w:pos="1560"/>
          <w:tab w:val="left" w:pos="1701"/>
          <w:tab w:val="left" w:pos="2693"/>
        </w:tabs>
        <w:suppressAutoHyphens/>
        <w:spacing w:before="25" w:after="25" w:line="300" w:lineRule="auto"/>
        <w:ind w:left="0" w:firstLine="567"/>
        <w:jc w:val="both"/>
        <w:rPr>
          <w:rFonts w:ascii="Times New Roman" w:hAnsi="Times New Roman" w:cs="Times New Roman"/>
        </w:rPr>
      </w:pPr>
      <w:r>
        <w:rPr>
          <w:rFonts w:ascii="Times New Roman" w:hAnsi="Times New Roman" w:cs="Times New Roman"/>
        </w:rPr>
        <w:t>būsto ir komunalinio ūkio;</w:t>
      </w:r>
    </w:p>
    <w:p w:rsidR="001D69BA" w:rsidRDefault="001D69BA" w:rsidP="001D69BA">
      <w:pPr>
        <w:widowControl/>
        <w:numPr>
          <w:ilvl w:val="1"/>
          <w:numId w:val="7"/>
        </w:numPr>
        <w:tabs>
          <w:tab w:val="left" w:pos="1560"/>
          <w:tab w:val="left" w:pos="1701"/>
          <w:tab w:val="left" w:pos="2693"/>
        </w:tabs>
        <w:suppressAutoHyphens/>
        <w:spacing w:before="25" w:after="25" w:line="300" w:lineRule="auto"/>
        <w:ind w:left="0" w:firstLine="567"/>
        <w:jc w:val="both"/>
        <w:rPr>
          <w:rFonts w:ascii="Times New Roman" w:hAnsi="Times New Roman" w:cs="Times New Roman"/>
        </w:rPr>
      </w:pPr>
      <w:r>
        <w:rPr>
          <w:rFonts w:ascii="Times New Roman" w:hAnsi="Times New Roman" w:cs="Times New Roman"/>
        </w:rPr>
        <w:t>sveikatos apsaugos;</w:t>
      </w:r>
    </w:p>
    <w:p w:rsidR="001D69BA" w:rsidRDefault="001D69BA" w:rsidP="001D69BA">
      <w:pPr>
        <w:widowControl/>
        <w:numPr>
          <w:ilvl w:val="1"/>
          <w:numId w:val="7"/>
        </w:numPr>
        <w:tabs>
          <w:tab w:val="left" w:pos="1560"/>
          <w:tab w:val="left" w:pos="1701"/>
          <w:tab w:val="left" w:pos="2693"/>
        </w:tabs>
        <w:suppressAutoHyphens/>
        <w:spacing w:before="25" w:after="25" w:line="300" w:lineRule="auto"/>
        <w:ind w:left="0" w:firstLine="567"/>
        <w:jc w:val="both"/>
        <w:rPr>
          <w:rFonts w:ascii="Times New Roman" w:hAnsi="Times New Roman" w:cs="Times New Roman"/>
        </w:rPr>
      </w:pPr>
      <w:r>
        <w:rPr>
          <w:rFonts w:ascii="Times New Roman" w:hAnsi="Times New Roman" w:cs="Times New Roman"/>
        </w:rPr>
        <w:t>poilsio, kultūros ir religijos;</w:t>
      </w:r>
    </w:p>
    <w:p w:rsidR="001D69BA" w:rsidRDefault="001D69BA" w:rsidP="001D69BA">
      <w:pPr>
        <w:widowControl/>
        <w:numPr>
          <w:ilvl w:val="1"/>
          <w:numId w:val="7"/>
        </w:numPr>
        <w:tabs>
          <w:tab w:val="left" w:pos="1560"/>
          <w:tab w:val="left" w:pos="1701"/>
          <w:tab w:val="left" w:pos="2693"/>
        </w:tabs>
        <w:suppressAutoHyphens/>
        <w:spacing w:before="25" w:after="25" w:line="300" w:lineRule="auto"/>
        <w:ind w:left="0" w:firstLine="567"/>
        <w:jc w:val="both"/>
        <w:rPr>
          <w:rFonts w:ascii="Times New Roman" w:hAnsi="Times New Roman" w:cs="Times New Roman"/>
        </w:rPr>
      </w:pPr>
      <w:r>
        <w:rPr>
          <w:rFonts w:ascii="Times New Roman" w:hAnsi="Times New Roman" w:cs="Times New Roman"/>
        </w:rPr>
        <w:t>švietimo;</w:t>
      </w:r>
    </w:p>
    <w:p w:rsidR="001D69BA" w:rsidRDefault="001D69BA" w:rsidP="001D69BA">
      <w:pPr>
        <w:widowControl/>
        <w:numPr>
          <w:ilvl w:val="1"/>
          <w:numId w:val="7"/>
        </w:numPr>
        <w:tabs>
          <w:tab w:val="left" w:pos="1560"/>
          <w:tab w:val="left" w:pos="2693"/>
        </w:tabs>
        <w:suppressAutoHyphens/>
        <w:spacing w:before="25" w:after="25" w:line="300" w:lineRule="auto"/>
        <w:ind w:left="0" w:firstLine="567"/>
        <w:jc w:val="both"/>
        <w:rPr>
          <w:rFonts w:ascii="Times New Roman" w:hAnsi="Times New Roman" w:cs="Times New Roman"/>
        </w:rPr>
      </w:pPr>
      <w:r>
        <w:rPr>
          <w:rFonts w:ascii="Times New Roman" w:hAnsi="Times New Roman" w:cs="Times New Roman"/>
        </w:rPr>
        <w:t>socialinės apsaugos.</w:t>
      </w:r>
    </w:p>
    <w:p w:rsidR="001D69BA" w:rsidRDefault="001D69BA" w:rsidP="001D69BA">
      <w:pPr>
        <w:numPr>
          <w:ilvl w:val="0"/>
          <w:numId w:val="7"/>
        </w:numPr>
        <w:shd w:val="clear" w:color="auto" w:fill="FFFFFF"/>
        <w:tabs>
          <w:tab w:val="left" w:pos="1276"/>
          <w:tab w:val="left" w:pos="1701"/>
          <w:tab w:val="left" w:pos="2693"/>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Šiaulių miesto savivaldybės Apskaitos centras ir / ar įstaiga, kurios buhalterinė apskaita yra tvarkoma centralizuotai Apskaitos centro, turto, įsipareigojimų ir finansavimo sumų, sąnaudų ir pajamų apskaitą tvarko pagal segmentus, t. y. taip, kad galėtų pagal segmentus teisingai užregistruoti pagrindinės veiklos sąnaudas ir pagrindinės veiklos pinigų srautus. </w:t>
      </w:r>
    </w:p>
    <w:p w:rsidR="001D69BA" w:rsidRDefault="001D69BA" w:rsidP="001D69BA">
      <w:pPr>
        <w:numPr>
          <w:ilvl w:val="0"/>
          <w:numId w:val="7"/>
        </w:numPr>
        <w:shd w:val="clear" w:color="auto" w:fill="FFFFFF"/>
        <w:tabs>
          <w:tab w:val="left" w:pos="1276"/>
          <w:tab w:val="left" w:pos="1701"/>
          <w:tab w:val="left" w:pos="2552"/>
        </w:tabs>
        <w:suppressAutoHyphens/>
        <w:autoSpaceDE w:val="0"/>
        <w:spacing w:before="25" w:after="25" w:line="300" w:lineRule="auto"/>
        <w:ind w:right="96" w:firstLine="567"/>
        <w:jc w:val="both"/>
        <w:rPr>
          <w:rFonts w:ascii="Times New Roman" w:hAnsi="Times New Roman" w:cs="Times New Roman"/>
        </w:rPr>
      </w:pPr>
      <w:r>
        <w:rPr>
          <w:rFonts w:ascii="Times New Roman" w:hAnsi="Times New Roman" w:cs="Times New Roman"/>
        </w:rPr>
        <w:t>Šiaulių miesto savivaldybės Apskaitos centras ir / ar įstaiga, kurios buhalterinė apskaita yra tvarkoma centralizuotai Apskaitos centro, apie kiekvieną segmentą aiškinamajame rašte turi pateikti segmentui tenkančias pagrindinės veiklos sąnaudas ir pagrindinės veiklos pinigų srautus</w:t>
      </w:r>
    </w:p>
    <w:p w:rsidR="001D69BA" w:rsidRDefault="001D69BA" w:rsidP="001D69BA">
      <w:pPr>
        <w:widowControl/>
        <w:numPr>
          <w:ilvl w:val="0"/>
          <w:numId w:val="7"/>
        </w:numPr>
        <w:tabs>
          <w:tab w:val="left" w:pos="1276"/>
          <w:tab w:val="left" w:pos="1701"/>
          <w:tab w:val="left" w:pos="2552"/>
        </w:tabs>
        <w:suppressAutoHyphens/>
        <w:spacing w:before="25" w:after="25" w:line="300" w:lineRule="auto"/>
        <w:ind w:firstLine="567"/>
        <w:jc w:val="both"/>
        <w:rPr>
          <w:rFonts w:ascii="Times New Roman" w:hAnsi="Times New Roman" w:cs="Times New Roman"/>
        </w:rPr>
      </w:pPr>
      <w:r>
        <w:rPr>
          <w:rFonts w:ascii="Times New Roman" w:hAnsi="Times New Roman" w:cs="Times New Roman"/>
        </w:rPr>
        <w:t>Turtas, įsipareigojimai, finansavimo sumos ir sąnaudos, kurių priskyrimo prie segmento pagrindas yra neaiškus, priskiriami prie didžiausią veiklos dalį sudarančio segmento.</w:t>
      </w:r>
    </w:p>
    <w:p w:rsidR="001D69BA" w:rsidRDefault="001D69BA" w:rsidP="001D69BA">
      <w:pPr>
        <w:pStyle w:val="Antrat1"/>
        <w:numPr>
          <w:ilvl w:val="0"/>
          <w:numId w:val="6"/>
        </w:numPr>
        <w:tabs>
          <w:tab w:val="num" w:pos="360"/>
        </w:tabs>
        <w:suppressAutoHyphens/>
        <w:spacing w:before="240" w:after="60"/>
        <w:ind w:left="0" w:firstLine="0"/>
        <w:rPr>
          <w:bCs/>
          <w:szCs w:val="24"/>
        </w:rPr>
      </w:pPr>
      <w:bookmarkStart w:id="24" w:name="_Toc333413269"/>
      <w:r>
        <w:rPr>
          <w:bCs/>
          <w:szCs w:val="24"/>
        </w:rPr>
        <w:t>Apskaitos politikos keitimas</w:t>
      </w:r>
      <w:bookmarkEnd w:id="24"/>
    </w:p>
    <w:p w:rsidR="001D69BA" w:rsidRDefault="001D69BA" w:rsidP="001D69BA">
      <w:pPr>
        <w:tabs>
          <w:tab w:val="left" w:pos="1701"/>
          <w:tab w:val="left" w:pos="2552"/>
        </w:tabs>
        <w:autoSpaceDE w:val="0"/>
        <w:spacing w:before="25" w:after="25"/>
        <w:ind w:firstLine="851"/>
        <w:jc w:val="both"/>
        <w:rPr>
          <w:rFonts w:ascii="Times New Roman" w:hAnsi="Times New Roman" w:cs="Times New Roman"/>
          <w:b/>
          <w:bCs/>
        </w:rPr>
      </w:pP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Apskaitos politika keičiama vadovaujantis 7-ajame VSAFAS nustatytais principais.</w:t>
      </w: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Šiaulių miesto savivaldybės Apskaitos centras ir / ar įstaiga, kurios buhalterinė apskaita yra tvarkoma centralizuotai Apskaitos centro, pasirinktą apskaitos politiką taiko nuolat arba gana ilgą laiką tam, kad būtų galima palyginti skirtingų ataskaitinių laikotarpių finansines ataskaitas. Tokio palyginimo reikia finansinės būklės, veiklos rezultatų, grynojo turto ir pinigų srautų keitimosi tendencijoms nustatyti.</w:t>
      </w: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lastRenderedPageBreak/>
        <w:t>Šiaulių miesto savivaldybės Apskaitos centras ir / ar įstaiga, kurios buhalterinė apskaita yra tvarkoma centralizuotai Apskaitos centro, pasirenka ir taiko apskaitos politiką remdamasi nuostatomis, pateiktomis 1-ajame VSAFAS. Ūkinių operacijų bei ūkinių įvykių pripažinimo, apskaitos ar dėl jų atsirandančio turto, įsipareigojimų, finansavimo sumų, pajamų ir (arba) sąnaudų vertinimo apskaitoje pakeitimas yra laikomas apskaitos politikos keitimu.</w:t>
      </w: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Apskaitos politika keičiama dėl VSAFAS pasikeitimo arba jei kiti teisės aktai to reikalauja arba siekiant tinkamiau parodyti Šiaulių miesto savivaldybės Apskaitos centro ir / ar įstaigos, kurios buhalterinė apskaita yra tvarkoma centralizuotai Apskaitos centro, finansinę būklę, veiklos rezultatus ar pinigų srautus. Apskaitos politikos keitimas pradedamas taikyti ją pakeitus dėl priežasčių nurodytų šiame punkte. Poveikis, kurį daro apskaitos politikos keitimas einamojo ataskaitinio laikotarpio informacijai ir darytų ankstesnių ataskaitinių laikotarpių informacijai, registruojamas apskaitoje tą ataskaitinį laikotarpį, kurį apskaitos politika pakeičiama ir parodomas einamojo ataskaitinio laikotarpio veiklos rezultatų ataskaitos eilutėje „Apskaitos politikos keitimo bei esminių klaidų taisymo įtaka“. Šioje eilutėje yra parodoma apskaitos politikos keitimo poveikio dalis, susijusi su ankstesniais ataskaitiniais laikotarpiais. Lyginamoji ankstesnio ataskaitinio laikotarpio informacija finansinėse ataskaitose pateikiama tokia, kokia buvo, t. y. nėra koreguojama.</w:t>
      </w:r>
    </w:p>
    <w:p w:rsidR="001D69BA" w:rsidRDefault="001D69BA" w:rsidP="001D69BA">
      <w:pPr>
        <w:pStyle w:val="Antrat1"/>
        <w:numPr>
          <w:ilvl w:val="0"/>
          <w:numId w:val="6"/>
        </w:numPr>
        <w:tabs>
          <w:tab w:val="num" w:pos="360"/>
        </w:tabs>
        <w:suppressAutoHyphens/>
        <w:spacing w:before="240" w:after="60"/>
        <w:ind w:left="0" w:firstLine="0"/>
        <w:rPr>
          <w:bCs/>
          <w:szCs w:val="24"/>
        </w:rPr>
      </w:pPr>
      <w:bookmarkStart w:id="25" w:name="_Toc333413270"/>
      <w:r>
        <w:rPr>
          <w:bCs/>
          <w:szCs w:val="24"/>
        </w:rPr>
        <w:t>Apskaitinių įverčių keitimas</w:t>
      </w:r>
      <w:bookmarkEnd w:id="25"/>
    </w:p>
    <w:p w:rsidR="001D69BA" w:rsidRDefault="001D69BA" w:rsidP="001D69BA">
      <w:pPr>
        <w:tabs>
          <w:tab w:val="left" w:pos="1701"/>
          <w:tab w:val="left" w:pos="2552"/>
        </w:tabs>
        <w:autoSpaceDE w:val="0"/>
        <w:spacing w:before="25" w:after="25"/>
        <w:ind w:firstLine="851"/>
        <w:jc w:val="both"/>
        <w:rPr>
          <w:rFonts w:ascii="Times New Roman" w:hAnsi="Times New Roman" w:cs="Times New Roman"/>
          <w:b/>
          <w:bCs/>
        </w:rPr>
      </w:pP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Apskaitinių įverčiai keičiami vadovaujantis 7-ajame VSAFAS nustatytais principais.</w:t>
      </w: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Apskaitiniai įverčiai yra peržiūrimi tuo atveju, jei pasikeičia aplinkybės, kuriomis buvo remtasi atliekant įvertinimą arba atsiranda papildomos informacijos ar kitų įvykių.</w:t>
      </w: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Apskaitinio </w:t>
      </w:r>
      <w:proofErr w:type="spellStart"/>
      <w:r>
        <w:rPr>
          <w:rFonts w:ascii="Times New Roman" w:hAnsi="Times New Roman" w:cs="Times New Roman"/>
        </w:rPr>
        <w:t>įverčio</w:t>
      </w:r>
      <w:proofErr w:type="spellEnd"/>
      <w:r>
        <w:rPr>
          <w:rFonts w:ascii="Times New Roman" w:hAnsi="Times New Roman" w:cs="Times New Roman"/>
        </w:rPr>
        <w:t xml:space="preserve"> pasikeitimo poveikis nustatant grynąjį perviršį ar deficitą priskiriamas: </w:t>
      </w:r>
    </w:p>
    <w:p w:rsidR="001D69BA" w:rsidRDefault="001D69BA" w:rsidP="001D69BA">
      <w:pPr>
        <w:widowControl/>
        <w:numPr>
          <w:ilvl w:val="1"/>
          <w:numId w:val="7"/>
        </w:numPr>
        <w:tabs>
          <w:tab w:val="left" w:pos="1560"/>
          <w:tab w:val="left" w:pos="1701"/>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laikotarpiui, kada įvyko pasikeitimas, jei jis turi įtakos tik tam laikotarpiui; </w:t>
      </w:r>
    </w:p>
    <w:p w:rsidR="001D69BA" w:rsidRDefault="001D69BA" w:rsidP="001D69BA">
      <w:pPr>
        <w:widowControl/>
        <w:numPr>
          <w:ilvl w:val="1"/>
          <w:numId w:val="7"/>
        </w:numPr>
        <w:tabs>
          <w:tab w:val="left" w:pos="1560"/>
          <w:tab w:val="left" w:pos="1701"/>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laikotarpiui, kada įvyko pasikeitimas, ir vėlesniems laikotarpiams, jei pasikeitimas turi įtakos ir jiems.</w:t>
      </w: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Apskaitinio </w:t>
      </w:r>
      <w:proofErr w:type="spellStart"/>
      <w:r>
        <w:rPr>
          <w:rFonts w:ascii="Times New Roman" w:hAnsi="Times New Roman" w:cs="Times New Roman"/>
        </w:rPr>
        <w:t>įverčio</w:t>
      </w:r>
      <w:proofErr w:type="spellEnd"/>
      <w:r>
        <w:rPr>
          <w:rFonts w:ascii="Times New Roman" w:hAnsi="Times New Roman" w:cs="Times New Roman"/>
        </w:rPr>
        <w:t xml:space="preserve"> pasikeitimo rezultatas įtraukiamas į tą veiklos rezultatų ataskaitos eilutę, kurioje buvo parodytas pirminis įvertis, nebent pasikeitimas ataskaitiniu laikotarpiu turi įtakos tik finansinės būklės ataskaitos straipsniams. Informacija, susijusi su apskaitinio </w:t>
      </w:r>
      <w:proofErr w:type="spellStart"/>
      <w:r>
        <w:rPr>
          <w:rFonts w:ascii="Times New Roman" w:hAnsi="Times New Roman" w:cs="Times New Roman"/>
        </w:rPr>
        <w:t>įverčio</w:t>
      </w:r>
      <w:proofErr w:type="spellEnd"/>
      <w:r>
        <w:rPr>
          <w:rFonts w:ascii="Times New Roman" w:hAnsi="Times New Roman" w:cs="Times New Roman"/>
        </w:rPr>
        <w:t xml:space="preserve"> pakeitimu, pateikiama aiškinamajame rašte.</w:t>
      </w: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Apskaitos politika laikomas pasirinktas apskaitos metodas (pavyzdžiui, nusidėvėjimas skaičiuojamas tiesioginiu metodu), o apskaitiniu įverčiu laikoma Šiaulių miesto savivaldybės Apskaitos centro ir / ar įstaigos, kurios buhalterinė apskaita yra tvarkoma centralizuotai Apskaitos centro, pasirinktos taisyklės, naudojamos turto ir įsipareigojimų vertei nustatyti (pavyzdžiui, konkretūs ilgalaikio turto nusidėvėjimo normatyvai).</w:t>
      </w:r>
    </w:p>
    <w:p w:rsidR="001D69BA" w:rsidRDefault="001D69BA" w:rsidP="001D69BA">
      <w:pPr>
        <w:pStyle w:val="Antrat1"/>
        <w:numPr>
          <w:ilvl w:val="0"/>
          <w:numId w:val="6"/>
        </w:numPr>
        <w:suppressAutoHyphens/>
        <w:spacing w:before="240" w:after="60"/>
        <w:ind w:left="0" w:firstLine="273"/>
        <w:rPr>
          <w:bCs/>
          <w:szCs w:val="24"/>
        </w:rPr>
      </w:pPr>
      <w:bookmarkStart w:id="26" w:name="_Toc333413271"/>
      <w:r>
        <w:rPr>
          <w:bCs/>
          <w:szCs w:val="24"/>
        </w:rPr>
        <w:t>Apskaitos klaidų taisymas</w:t>
      </w:r>
      <w:bookmarkEnd w:id="26"/>
    </w:p>
    <w:p w:rsidR="001D69BA" w:rsidRDefault="001D69BA" w:rsidP="001D69BA">
      <w:pPr>
        <w:tabs>
          <w:tab w:val="left" w:pos="1701"/>
          <w:tab w:val="left" w:pos="2552"/>
        </w:tabs>
        <w:autoSpaceDE w:val="0"/>
        <w:spacing w:before="25" w:after="25"/>
        <w:ind w:firstLine="851"/>
        <w:jc w:val="both"/>
        <w:rPr>
          <w:rFonts w:ascii="Times New Roman" w:hAnsi="Times New Roman" w:cs="Times New Roman"/>
          <w:b/>
          <w:bCs/>
        </w:rPr>
      </w:pP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Apskaitos klaidos taisomos vadovaujantis 7-ajame VSAFAS nustatytomis taisyklėmis.</w:t>
      </w: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lastRenderedPageBreak/>
        <w:t xml:space="preserve">Ataskaitiniu laikotarpiu gali būti pastebėtos apskaitos klaidos, padarytos praėjusių ataskaitinių laikotarpių finansinėse ataskaitose. Apskaitos klaida laikoma esmine, jei jos vertinė išraiška individualiai arba kartu su kitų to ataskaitinio laikotarpio klaidų vertinėmis išraiškomis yra didesnė nei 0,25 procento per praėjusius finansinius metus gautų finansavimo sumų vertės. </w:t>
      </w:r>
    </w:p>
    <w:p w:rsidR="001D69BA" w:rsidRDefault="001D69BA" w:rsidP="001D69BA">
      <w:pPr>
        <w:widowControl/>
        <w:numPr>
          <w:ilvl w:val="0"/>
          <w:numId w:val="7"/>
        </w:numPr>
        <w:tabs>
          <w:tab w:val="left" w:pos="1276"/>
          <w:tab w:val="left" w:pos="1701"/>
          <w:tab w:val="left" w:pos="2552"/>
        </w:tabs>
        <w:suppressAutoHyphens/>
        <w:autoSpaceDE w:val="0"/>
        <w:spacing w:before="25" w:after="25" w:line="300" w:lineRule="auto"/>
        <w:ind w:firstLine="567"/>
        <w:jc w:val="both"/>
        <w:rPr>
          <w:rFonts w:ascii="Times New Roman" w:hAnsi="Times New Roman" w:cs="Times New Roman"/>
        </w:rPr>
      </w:pPr>
      <w:r>
        <w:rPr>
          <w:rFonts w:ascii="Times New Roman" w:hAnsi="Times New Roman" w:cs="Times New Roman"/>
        </w:rPr>
        <w:t xml:space="preserve">Ir esminės, ir neesminės apskaitos klaidos taisomos einamojo ataskaitinio laikotarpio finansinėse ataskaitose. Apskaitos klaidų taisymo įtaka finansinėse ataskaitose parodoma taip: </w:t>
      </w:r>
    </w:p>
    <w:p w:rsidR="001D69BA" w:rsidRDefault="001D69BA" w:rsidP="001D69BA">
      <w:pPr>
        <w:widowControl/>
        <w:numPr>
          <w:ilvl w:val="1"/>
          <w:numId w:val="7"/>
        </w:numPr>
        <w:tabs>
          <w:tab w:val="left" w:pos="1134"/>
          <w:tab w:val="left" w:pos="1560"/>
          <w:tab w:val="left" w:pos="1701"/>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 xml:space="preserve">jei apskaitos klaida nėra esminė, jos taisymas registruojamas toje pačioje sąskaitoje, kurioje buvo užregistruota klaidinga informacija, ir parodomas toje pačioje veiklos rezultatų ataskaitos eilutėje, kurioje buvo pateikta klaidinga informacija; </w:t>
      </w:r>
    </w:p>
    <w:p w:rsidR="001D69BA" w:rsidRDefault="001D69BA" w:rsidP="001D69BA">
      <w:pPr>
        <w:widowControl/>
        <w:numPr>
          <w:ilvl w:val="1"/>
          <w:numId w:val="7"/>
        </w:numPr>
        <w:tabs>
          <w:tab w:val="left" w:pos="1134"/>
          <w:tab w:val="left" w:pos="1560"/>
          <w:tab w:val="left" w:pos="1701"/>
          <w:tab w:val="left" w:pos="2552"/>
        </w:tabs>
        <w:suppressAutoHyphens/>
        <w:autoSpaceDE w:val="0"/>
        <w:spacing w:before="25" w:after="25" w:line="300" w:lineRule="auto"/>
        <w:ind w:left="0" w:firstLine="567"/>
        <w:jc w:val="both"/>
        <w:rPr>
          <w:rFonts w:ascii="Times New Roman" w:hAnsi="Times New Roman" w:cs="Times New Roman"/>
        </w:rPr>
      </w:pPr>
      <w:r>
        <w:rPr>
          <w:rFonts w:ascii="Times New Roman" w:hAnsi="Times New Roman" w:cs="Times New Roman"/>
        </w:rPr>
        <w:t>jei apskaitos klaida esminė, jos taisymas registruojamas tam skirtoje sąskaitoje ir parodomas veiklos rezultatų ataskaitos eilutėje „Apskaitos politikos keitimo bei esminių apskaitos klaidų taisymo įtaka“. Lyginamoji ankstesniojo ataskaitinio laikotarpio finansinė informacija pateikiama tokia, kokia buvo, t. y. nekoreguojama. Su esminės klaidos taisymu susijusi informacija pateikiama aiškinamajame rašte.</w:t>
      </w:r>
    </w:p>
    <w:p w:rsidR="001D69BA" w:rsidRPr="009956C9" w:rsidRDefault="001D69BA" w:rsidP="001D69BA">
      <w:pPr>
        <w:pStyle w:val="Pagrindinistekstas"/>
        <w:numPr>
          <w:ilvl w:val="0"/>
          <w:numId w:val="1"/>
        </w:numPr>
        <w:tabs>
          <w:tab w:val="left" w:pos="368"/>
        </w:tabs>
        <w:spacing w:after="140" w:line="396" w:lineRule="auto"/>
        <w:jc w:val="center"/>
        <w:rPr>
          <w:b/>
          <w:sz w:val="24"/>
          <w:szCs w:val="24"/>
        </w:rPr>
      </w:pPr>
      <w:r w:rsidRPr="009956C9">
        <w:rPr>
          <w:b/>
          <w:sz w:val="24"/>
          <w:szCs w:val="24"/>
        </w:rPr>
        <w:t>PASTABOS</w:t>
      </w:r>
    </w:p>
    <w:p w:rsidR="001D69BA" w:rsidRPr="009956C9" w:rsidRDefault="001D69BA" w:rsidP="001D69BA">
      <w:pPr>
        <w:pStyle w:val="Pagrindinistekstas"/>
        <w:spacing w:after="40" w:line="240" w:lineRule="auto"/>
        <w:jc w:val="center"/>
        <w:rPr>
          <w:b/>
          <w:sz w:val="24"/>
          <w:szCs w:val="24"/>
        </w:rPr>
      </w:pPr>
      <w:r w:rsidRPr="009956C9">
        <w:rPr>
          <w:b/>
          <w:sz w:val="24"/>
          <w:szCs w:val="24"/>
        </w:rPr>
        <w:t>Finansinės būklės ataskaita</w:t>
      </w:r>
    </w:p>
    <w:p w:rsidR="001D69BA" w:rsidRPr="009956C9" w:rsidRDefault="001D69BA" w:rsidP="001D69BA">
      <w:pPr>
        <w:pStyle w:val="Pagrindinistekstas"/>
        <w:spacing w:after="40" w:line="240" w:lineRule="auto"/>
        <w:jc w:val="center"/>
        <w:rPr>
          <w:sz w:val="24"/>
          <w:szCs w:val="24"/>
        </w:rPr>
      </w:pPr>
    </w:p>
    <w:p w:rsidR="001D69BA" w:rsidRPr="009A0ABB" w:rsidRDefault="001D69BA" w:rsidP="001D69BA">
      <w:pPr>
        <w:pStyle w:val="Pagrindinistekstas"/>
        <w:numPr>
          <w:ilvl w:val="0"/>
          <w:numId w:val="2"/>
        </w:numPr>
        <w:tabs>
          <w:tab w:val="left" w:pos="349"/>
        </w:tabs>
        <w:spacing w:before="120" w:after="120" w:line="300" w:lineRule="auto"/>
        <w:jc w:val="both"/>
        <w:rPr>
          <w:b/>
          <w:sz w:val="24"/>
          <w:szCs w:val="24"/>
        </w:rPr>
      </w:pPr>
      <w:bookmarkStart w:id="27" w:name="bookmark6"/>
      <w:bookmarkEnd w:id="27"/>
      <w:r w:rsidRPr="009A0ABB">
        <w:rPr>
          <w:b/>
          <w:sz w:val="24"/>
          <w:szCs w:val="24"/>
        </w:rPr>
        <w:t xml:space="preserve">Pastaba </w:t>
      </w:r>
      <w:proofErr w:type="spellStart"/>
      <w:r w:rsidRPr="009A0ABB">
        <w:rPr>
          <w:b/>
          <w:sz w:val="24"/>
          <w:szCs w:val="24"/>
        </w:rPr>
        <w:t>Nr</w:t>
      </w:r>
      <w:proofErr w:type="spellEnd"/>
      <w:r w:rsidRPr="009A0ABB">
        <w:rPr>
          <w:b/>
          <w:sz w:val="24"/>
          <w:szCs w:val="24"/>
        </w:rPr>
        <w:t>. P03. Nematerialus turtas.</w:t>
      </w:r>
    </w:p>
    <w:p w:rsidR="001D69BA" w:rsidRDefault="001D69BA" w:rsidP="001D69BA">
      <w:pPr>
        <w:pStyle w:val="Pagrindinistekstas"/>
        <w:spacing w:before="100" w:beforeAutospacing="1" w:after="100" w:afterAutospacing="1" w:line="240" w:lineRule="auto"/>
        <w:contextualSpacing/>
        <w:jc w:val="both"/>
        <w:rPr>
          <w:sz w:val="24"/>
          <w:szCs w:val="24"/>
        </w:rPr>
      </w:pPr>
      <w:bookmarkStart w:id="28" w:name="bookmark7"/>
      <w:bookmarkEnd w:id="28"/>
      <w:r>
        <w:rPr>
          <w:sz w:val="24"/>
          <w:szCs w:val="24"/>
        </w:rPr>
        <w:t>Į</w:t>
      </w:r>
      <w:r w:rsidRPr="00596C25">
        <w:rPr>
          <w:sz w:val="24"/>
          <w:szCs w:val="24"/>
        </w:rPr>
        <w:t xml:space="preserve">staiga </w:t>
      </w:r>
      <w:r>
        <w:rPr>
          <w:sz w:val="24"/>
          <w:szCs w:val="24"/>
        </w:rPr>
        <w:t>neturi</w:t>
      </w:r>
      <w:r w:rsidRPr="00596C25">
        <w:rPr>
          <w:sz w:val="24"/>
          <w:szCs w:val="24"/>
        </w:rPr>
        <w:t xml:space="preserve"> nematerial</w:t>
      </w:r>
      <w:r>
        <w:rPr>
          <w:sz w:val="24"/>
          <w:szCs w:val="24"/>
        </w:rPr>
        <w:t>aus</w:t>
      </w:r>
      <w:r w:rsidRPr="00596C25">
        <w:rPr>
          <w:sz w:val="24"/>
          <w:szCs w:val="24"/>
        </w:rPr>
        <w:t xml:space="preserve"> turto.</w:t>
      </w:r>
      <w:r>
        <w:rPr>
          <w:sz w:val="24"/>
          <w:szCs w:val="24"/>
        </w:rPr>
        <w:t xml:space="preserve"> </w:t>
      </w:r>
    </w:p>
    <w:p w:rsidR="001D69BA" w:rsidRDefault="001D69BA" w:rsidP="001D69BA">
      <w:pPr>
        <w:pStyle w:val="Pagrindinistekstas"/>
        <w:spacing w:before="100" w:beforeAutospacing="1" w:after="100" w:afterAutospacing="1" w:line="240" w:lineRule="auto"/>
        <w:contextualSpacing/>
        <w:jc w:val="both"/>
        <w:rPr>
          <w:sz w:val="24"/>
          <w:szCs w:val="24"/>
        </w:rPr>
      </w:pPr>
    </w:p>
    <w:p w:rsidR="001D69BA" w:rsidRPr="009A0ABB" w:rsidRDefault="001D69BA" w:rsidP="001D69BA">
      <w:pPr>
        <w:pStyle w:val="Pagrindinistekstas"/>
        <w:numPr>
          <w:ilvl w:val="0"/>
          <w:numId w:val="2"/>
        </w:numPr>
        <w:tabs>
          <w:tab w:val="left" w:pos="363"/>
        </w:tabs>
        <w:spacing w:before="120" w:after="120" w:line="300" w:lineRule="auto"/>
        <w:jc w:val="both"/>
        <w:rPr>
          <w:b/>
          <w:sz w:val="24"/>
          <w:szCs w:val="24"/>
        </w:rPr>
      </w:pPr>
      <w:r w:rsidRPr="009A0ABB">
        <w:rPr>
          <w:b/>
          <w:sz w:val="24"/>
          <w:szCs w:val="24"/>
        </w:rPr>
        <w:t xml:space="preserve">Pastaba </w:t>
      </w:r>
      <w:proofErr w:type="spellStart"/>
      <w:r w:rsidRPr="009A0ABB">
        <w:rPr>
          <w:b/>
          <w:sz w:val="24"/>
          <w:szCs w:val="24"/>
        </w:rPr>
        <w:t>Nr</w:t>
      </w:r>
      <w:proofErr w:type="spellEnd"/>
      <w:r w:rsidRPr="009A0ABB">
        <w:rPr>
          <w:b/>
          <w:sz w:val="24"/>
          <w:szCs w:val="24"/>
        </w:rPr>
        <w:t>. P04. Ilgalaikis materialus turtas.</w:t>
      </w:r>
    </w:p>
    <w:p w:rsidR="001D69BA" w:rsidRPr="009956C9" w:rsidRDefault="001D69BA" w:rsidP="001D69BA">
      <w:pPr>
        <w:pStyle w:val="Pagrindinistekstas"/>
        <w:spacing w:before="25" w:after="120" w:line="300" w:lineRule="auto"/>
        <w:ind w:firstLine="567"/>
        <w:jc w:val="both"/>
        <w:rPr>
          <w:sz w:val="24"/>
          <w:szCs w:val="24"/>
        </w:rPr>
      </w:pPr>
      <w:r w:rsidRPr="009956C9">
        <w:rPr>
          <w:sz w:val="24"/>
          <w:szCs w:val="24"/>
        </w:rPr>
        <w:t xml:space="preserve">Finansinėse ataskaitose ataskaitinio laikotarpio ilgalaikio materialiojo turo likutinė vertė </w:t>
      </w:r>
      <w:r>
        <w:rPr>
          <w:sz w:val="24"/>
          <w:szCs w:val="24"/>
        </w:rPr>
        <w:t>332334,22</w:t>
      </w:r>
      <w:r w:rsidRPr="009956C9">
        <w:rPr>
          <w:sz w:val="24"/>
          <w:szCs w:val="24"/>
        </w:rPr>
        <w:t xml:space="preserve"> </w:t>
      </w:r>
      <w:proofErr w:type="spellStart"/>
      <w:r w:rsidRPr="009956C9">
        <w:rPr>
          <w:sz w:val="24"/>
          <w:szCs w:val="24"/>
        </w:rPr>
        <w:t>Eur</w:t>
      </w:r>
      <w:proofErr w:type="spellEnd"/>
      <w:r w:rsidRPr="009956C9">
        <w:rPr>
          <w:sz w:val="24"/>
          <w:szCs w:val="24"/>
        </w:rPr>
        <w:t>. Informacija apie ilgalaikio materialiojo turto įsigijimo vertę ir likutinę vertę ataskaitinio laikotarpio pabaigoje pateikta lentelėje:</w:t>
      </w:r>
    </w:p>
    <w:tbl>
      <w:tblPr>
        <w:tblOverlap w:val="never"/>
        <w:tblW w:w="9787" w:type="dxa"/>
        <w:jc w:val="center"/>
        <w:tblLayout w:type="fixed"/>
        <w:tblCellMar>
          <w:left w:w="10" w:type="dxa"/>
          <w:right w:w="10" w:type="dxa"/>
        </w:tblCellMar>
        <w:tblLook w:val="04A0" w:firstRow="1" w:lastRow="0" w:firstColumn="1" w:lastColumn="0" w:noHBand="0" w:noVBand="1"/>
      </w:tblPr>
      <w:tblGrid>
        <w:gridCol w:w="4382"/>
        <w:gridCol w:w="2698"/>
        <w:gridCol w:w="2707"/>
      </w:tblGrid>
      <w:tr w:rsidR="001D69BA" w:rsidRPr="00596C25" w:rsidTr="005A6242">
        <w:trPr>
          <w:trHeight w:hRule="exact" w:val="1156"/>
          <w:jc w:val="center"/>
        </w:trPr>
        <w:tc>
          <w:tcPr>
            <w:tcW w:w="4382" w:type="dxa"/>
            <w:tcBorders>
              <w:top w:val="single" w:sz="4" w:space="0" w:color="auto"/>
              <w:left w:val="single" w:sz="4" w:space="0" w:color="auto"/>
            </w:tcBorders>
            <w:shd w:val="clear" w:color="auto" w:fill="FFFFFF"/>
            <w:vAlign w:val="center"/>
          </w:tcPr>
          <w:p w:rsidR="001D69BA" w:rsidRPr="00596C25" w:rsidRDefault="001D69BA" w:rsidP="005A6242">
            <w:pPr>
              <w:pStyle w:val="Other0"/>
              <w:jc w:val="center"/>
              <w:rPr>
                <w:sz w:val="24"/>
                <w:szCs w:val="24"/>
              </w:rPr>
            </w:pPr>
            <w:r w:rsidRPr="00596C25">
              <w:rPr>
                <w:sz w:val="24"/>
                <w:szCs w:val="24"/>
              </w:rPr>
              <w:t>Turto grupė</w:t>
            </w:r>
          </w:p>
        </w:tc>
        <w:tc>
          <w:tcPr>
            <w:tcW w:w="2698" w:type="dxa"/>
            <w:tcBorders>
              <w:top w:val="single" w:sz="4" w:space="0" w:color="auto"/>
              <w:left w:val="single" w:sz="4" w:space="0" w:color="auto"/>
            </w:tcBorders>
            <w:shd w:val="clear" w:color="auto" w:fill="FFFFFF"/>
            <w:vAlign w:val="center"/>
          </w:tcPr>
          <w:p w:rsidR="001D69BA" w:rsidRPr="00596C25" w:rsidRDefault="001D69BA" w:rsidP="005A6242">
            <w:pPr>
              <w:pStyle w:val="Other0"/>
              <w:spacing w:line="262" w:lineRule="auto"/>
              <w:jc w:val="center"/>
              <w:rPr>
                <w:sz w:val="24"/>
                <w:szCs w:val="24"/>
              </w:rPr>
            </w:pPr>
            <w:r w:rsidRPr="00596C25">
              <w:rPr>
                <w:sz w:val="24"/>
                <w:szCs w:val="24"/>
              </w:rPr>
              <w:t xml:space="preserve">Įsigijimo vertė </w:t>
            </w:r>
          </w:p>
          <w:p w:rsidR="001D69BA" w:rsidRPr="00596C25" w:rsidRDefault="001D69BA" w:rsidP="005A6242">
            <w:pPr>
              <w:pStyle w:val="Other0"/>
              <w:spacing w:line="262" w:lineRule="auto"/>
              <w:jc w:val="center"/>
              <w:rPr>
                <w:sz w:val="24"/>
                <w:szCs w:val="24"/>
              </w:rPr>
            </w:pPr>
            <w:r w:rsidRPr="00596C25">
              <w:rPr>
                <w:sz w:val="24"/>
                <w:szCs w:val="24"/>
              </w:rPr>
              <w:t>ataskaitinio laikotarpio pabaigoje (</w:t>
            </w:r>
            <w:proofErr w:type="spellStart"/>
            <w:r w:rsidRPr="00596C25">
              <w:rPr>
                <w:sz w:val="24"/>
                <w:szCs w:val="24"/>
              </w:rPr>
              <w:t>Eur</w:t>
            </w:r>
            <w:proofErr w:type="spellEnd"/>
            <w:r w:rsidRPr="00596C25">
              <w:rPr>
                <w:sz w:val="24"/>
                <w:szCs w:val="24"/>
              </w:rPr>
              <w:t>)</w:t>
            </w:r>
          </w:p>
        </w:tc>
        <w:tc>
          <w:tcPr>
            <w:tcW w:w="2707" w:type="dxa"/>
            <w:tcBorders>
              <w:top w:val="single" w:sz="4" w:space="0" w:color="auto"/>
              <w:left w:val="single" w:sz="4" w:space="0" w:color="auto"/>
              <w:right w:val="single" w:sz="4" w:space="0" w:color="auto"/>
            </w:tcBorders>
            <w:shd w:val="clear" w:color="auto" w:fill="FFFFFF"/>
            <w:vAlign w:val="center"/>
          </w:tcPr>
          <w:p w:rsidR="001D69BA" w:rsidRPr="00596C25" w:rsidRDefault="001D69BA" w:rsidP="005A6242">
            <w:pPr>
              <w:pStyle w:val="Other0"/>
              <w:spacing w:line="259" w:lineRule="auto"/>
              <w:jc w:val="center"/>
              <w:rPr>
                <w:sz w:val="24"/>
                <w:szCs w:val="24"/>
              </w:rPr>
            </w:pPr>
            <w:r w:rsidRPr="00596C25">
              <w:rPr>
                <w:sz w:val="24"/>
                <w:szCs w:val="24"/>
              </w:rPr>
              <w:t>Sukaupta amortizacija ataskaitinio laikotarpio pabaigoje (</w:t>
            </w:r>
            <w:proofErr w:type="spellStart"/>
            <w:r w:rsidRPr="00596C25">
              <w:rPr>
                <w:sz w:val="24"/>
                <w:szCs w:val="24"/>
              </w:rPr>
              <w:t>Eur</w:t>
            </w:r>
            <w:proofErr w:type="spellEnd"/>
            <w:r w:rsidRPr="00596C25">
              <w:rPr>
                <w:sz w:val="24"/>
                <w:szCs w:val="24"/>
              </w:rPr>
              <w:t>)</w:t>
            </w:r>
          </w:p>
        </w:tc>
      </w:tr>
      <w:tr w:rsidR="001D69BA" w:rsidRPr="00596C25" w:rsidTr="005A6242">
        <w:trPr>
          <w:trHeight w:hRule="exact" w:val="370"/>
          <w:jc w:val="center"/>
        </w:trPr>
        <w:tc>
          <w:tcPr>
            <w:tcW w:w="4382" w:type="dxa"/>
            <w:tcBorders>
              <w:top w:val="single" w:sz="4" w:space="0" w:color="auto"/>
              <w:left w:val="single" w:sz="4" w:space="0" w:color="auto"/>
            </w:tcBorders>
            <w:shd w:val="clear" w:color="auto" w:fill="FFFFFF"/>
            <w:vAlign w:val="center"/>
          </w:tcPr>
          <w:p w:rsidR="001D69BA" w:rsidRPr="00596C25" w:rsidRDefault="001D69BA" w:rsidP="005A6242">
            <w:pPr>
              <w:pStyle w:val="Other0"/>
              <w:ind w:firstLine="130"/>
              <w:rPr>
                <w:sz w:val="24"/>
                <w:szCs w:val="24"/>
              </w:rPr>
            </w:pPr>
            <w:r w:rsidRPr="00596C25">
              <w:rPr>
                <w:sz w:val="24"/>
                <w:szCs w:val="24"/>
              </w:rPr>
              <w:t>Negyvenamieji pastatai</w:t>
            </w:r>
          </w:p>
        </w:tc>
        <w:tc>
          <w:tcPr>
            <w:tcW w:w="2698" w:type="dxa"/>
            <w:tcBorders>
              <w:top w:val="single" w:sz="4" w:space="0" w:color="auto"/>
              <w:left w:val="single" w:sz="4" w:space="0" w:color="auto"/>
            </w:tcBorders>
            <w:shd w:val="clear" w:color="auto" w:fill="FFFFFF"/>
            <w:vAlign w:val="center"/>
          </w:tcPr>
          <w:p w:rsidR="001D69BA" w:rsidRPr="00596C25" w:rsidRDefault="001D69BA" w:rsidP="005A6242">
            <w:pPr>
              <w:pStyle w:val="Other0"/>
              <w:jc w:val="center"/>
              <w:rPr>
                <w:sz w:val="24"/>
                <w:szCs w:val="24"/>
              </w:rPr>
            </w:pPr>
            <w:r>
              <w:rPr>
                <w:sz w:val="24"/>
                <w:szCs w:val="24"/>
              </w:rPr>
              <w:t>393225,35</w:t>
            </w:r>
          </w:p>
        </w:tc>
        <w:tc>
          <w:tcPr>
            <w:tcW w:w="2707" w:type="dxa"/>
            <w:tcBorders>
              <w:top w:val="single" w:sz="4" w:space="0" w:color="auto"/>
              <w:left w:val="single" w:sz="4" w:space="0" w:color="auto"/>
              <w:right w:val="single" w:sz="4" w:space="0" w:color="auto"/>
            </w:tcBorders>
            <w:shd w:val="clear" w:color="auto" w:fill="FFFFFF"/>
            <w:vAlign w:val="center"/>
          </w:tcPr>
          <w:p w:rsidR="001D69BA" w:rsidRPr="00596C25" w:rsidRDefault="001D69BA" w:rsidP="005A6242">
            <w:pPr>
              <w:pStyle w:val="Other0"/>
              <w:jc w:val="center"/>
              <w:rPr>
                <w:sz w:val="24"/>
                <w:szCs w:val="24"/>
              </w:rPr>
            </w:pPr>
            <w:r>
              <w:rPr>
                <w:sz w:val="24"/>
                <w:szCs w:val="24"/>
              </w:rPr>
              <w:t>116771,11</w:t>
            </w:r>
          </w:p>
        </w:tc>
      </w:tr>
      <w:tr w:rsidR="001D69BA" w:rsidRPr="00596C25" w:rsidTr="005A6242">
        <w:trPr>
          <w:trHeight w:hRule="exact" w:val="374"/>
          <w:jc w:val="center"/>
        </w:trPr>
        <w:tc>
          <w:tcPr>
            <w:tcW w:w="4382" w:type="dxa"/>
            <w:tcBorders>
              <w:top w:val="single" w:sz="4" w:space="0" w:color="auto"/>
              <w:left w:val="single" w:sz="4" w:space="0" w:color="auto"/>
            </w:tcBorders>
            <w:shd w:val="clear" w:color="auto" w:fill="FFFFFF"/>
            <w:vAlign w:val="center"/>
          </w:tcPr>
          <w:p w:rsidR="001D69BA" w:rsidRPr="00596C25" w:rsidRDefault="001D69BA" w:rsidP="005A6242">
            <w:pPr>
              <w:pStyle w:val="Other0"/>
              <w:ind w:firstLine="130"/>
              <w:rPr>
                <w:sz w:val="24"/>
                <w:szCs w:val="24"/>
              </w:rPr>
            </w:pPr>
            <w:r w:rsidRPr="00596C25">
              <w:rPr>
                <w:sz w:val="24"/>
                <w:szCs w:val="24"/>
              </w:rPr>
              <w:t>Infrastruktūr</w:t>
            </w:r>
            <w:r>
              <w:rPr>
                <w:sz w:val="24"/>
                <w:szCs w:val="24"/>
              </w:rPr>
              <w:t xml:space="preserve">os </w:t>
            </w:r>
            <w:r w:rsidRPr="00596C25">
              <w:rPr>
                <w:sz w:val="24"/>
                <w:szCs w:val="24"/>
              </w:rPr>
              <w:t xml:space="preserve"> statiniai</w:t>
            </w:r>
          </w:p>
        </w:tc>
        <w:tc>
          <w:tcPr>
            <w:tcW w:w="2698" w:type="dxa"/>
            <w:tcBorders>
              <w:top w:val="single" w:sz="4" w:space="0" w:color="auto"/>
              <w:left w:val="single" w:sz="4" w:space="0" w:color="auto"/>
            </w:tcBorders>
            <w:shd w:val="clear" w:color="auto" w:fill="FFFFFF"/>
            <w:vAlign w:val="center"/>
          </w:tcPr>
          <w:p w:rsidR="001D69BA" w:rsidRPr="00596C25" w:rsidRDefault="001D69BA" w:rsidP="005A6242">
            <w:pPr>
              <w:pStyle w:val="Other0"/>
              <w:jc w:val="center"/>
              <w:rPr>
                <w:sz w:val="24"/>
                <w:szCs w:val="24"/>
              </w:rPr>
            </w:pPr>
            <w:r>
              <w:rPr>
                <w:sz w:val="24"/>
                <w:szCs w:val="24"/>
              </w:rPr>
              <w:t>0,00</w:t>
            </w:r>
          </w:p>
        </w:tc>
        <w:tc>
          <w:tcPr>
            <w:tcW w:w="2707" w:type="dxa"/>
            <w:tcBorders>
              <w:top w:val="single" w:sz="4" w:space="0" w:color="auto"/>
              <w:left w:val="single" w:sz="4" w:space="0" w:color="auto"/>
              <w:right w:val="single" w:sz="4" w:space="0" w:color="auto"/>
            </w:tcBorders>
            <w:shd w:val="clear" w:color="auto" w:fill="FFFFFF"/>
            <w:vAlign w:val="center"/>
          </w:tcPr>
          <w:p w:rsidR="001D69BA" w:rsidRPr="00596C25" w:rsidRDefault="001D69BA" w:rsidP="005A6242">
            <w:pPr>
              <w:pStyle w:val="Other0"/>
              <w:jc w:val="center"/>
              <w:rPr>
                <w:sz w:val="24"/>
                <w:szCs w:val="24"/>
              </w:rPr>
            </w:pPr>
            <w:r>
              <w:rPr>
                <w:sz w:val="24"/>
                <w:szCs w:val="24"/>
              </w:rPr>
              <w:t>0,00</w:t>
            </w:r>
          </w:p>
        </w:tc>
      </w:tr>
      <w:tr w:rsidR="001D69BA" w:rsidRPr="00596C25" w:rsidTr="005A6242">
        <w:trPr>
          <w:trHeight w:hRule="exact" w:val="370"/>
          <w:jc w:val="center"/>
        </w:trPr>
        <w:tc>
          <w:tcPr>
            <w:tcW w:w="4382" w:type="dxa"/>
            <w:tcBorders>
              <w:top w:val="single" w:sz="4" w:space="0" w:color="auto"/>
              <w:left w:val="single" w:sz="4" w:space="0" w:color="auto"/>
            </w:tcBorders>
            <w:shd w:val="clear" w:color="auto" w:fill="FFFFFF"/>
            <w:vAlign w:val="center"/>
          </w:tcPr>
          <w:p w:rsidR="001D69BA" w:rsidRPr="00596C25" w:rsidRDefault="001D69BA" w:rsidP="005A6242">
            <w:pPr>
              <w:pStyle w:val="Other0"/>
              <w:ind w:firstLine="130"/>
              <w:rPr>
                <w:sz w:val="24"/>
                <w:szCs w:val="24"/>
              </w:rPr>
            </w:pPr>
            <w:r w:rsidRPr="00596C25">
              <w:rPr>
                <w:sz w:val="24"/>
                <w:szCs w:val="24"/>
              </w:rPr>
              <w:t>Mašinos ir įrengimai</w:t>
            </w:r>
          </w:p>
        </w:tc>
        <w:tc>
          <w:tcPr>
            <w:tcW w:w="2698" w:type="dxa"/>
            <w:tcBorders>
              <w:top w:val="single" w:sz="4" w:space="0" w:color="auto"/>
              <w:left w:val="single" w:sz="4" w:space="0" w:color="auto"/>
            </w:tcBorders>
            <w:shd w:val="clear" w:color="auto" w:fill="FFFFFF"/>
            <w:vAlign w:val="center"/>
          </w:tcPr>
          <w:p w:rsidR="001D69BA" w:rsidRPr="00596C25" w:rsidRDefault="001D69BA" w:rsidP="005A6242">
            <w:pPr>
              <w:pStyle w:val="Other0"/>
              <w:jc w:val="center"/>
              <w:rPr>
                <w:sz w:val="24"/>
                <w:szCs w:val="24"/>
              </w:rPr>
            </w:pPr>
            <w:r>
              <w:rPr>
                <w:sz w:val="24"/>
                <w:szCs w:val="24"/>
              </w:rPr>
              <w:t>25142,17</w:t>
            </w:r>
          </w:p>
        </w:tc>
        <w:tc>
          <w:tcPr>
            <w:tcW w:w="2707" w:type="dxa"/>
            <w:tcBorders>
              <w:top w:val="single" w:sz="4" w:space="0" w:color="auto"/>
              <w:left w:val="single" w:sz="4" w:space="0" w:color="auto"/>
              <w:right w:val="single" w:sz="4" w:space="0" w:color="auto"/>
            </w:tcBorders>
            <w:shd w:val="clear" w:color="auto" w:fill="FFFFFF"/>
            <w:vAlign w:val="center"/>
          </w:tcPr>
          <w:p w:rsidR="001D69BA" w:rsidRPr="00596C25" w:rsidRDefault="001D69BA" w:rsidP="005A6242">
            <w:pPr>
              <w:pStyle w:val="Other0"/>
              <w:jc w:val="center"/>
              <w:rPr>
                <w:sz w:val="24"/>
                <w:szCs w:val="24"/>
              </w:rPr>
            </w:pPr>
            <w:r>
              <w:rPr>
                <w:sz w:val="24"/>
                <w:szCs w:val="24"/>
              </w:rPr>
              <w:t>8005,51</w:t>
            </w:r>
          </w:p>
        </w:tc>
      </w:tr>
      <w:tr w:rsidR="001D69BA" w:rsidRPr="00596C25" w:rsidTr="005A6242">
        <w:trPr>
          <w:trHeight w:hRule="exact" w:val="370"/>
          <w:jc w:val="center"/>
        </w:trPr>
        <w:tc>
          <w:tcPr>
            <w:tcW w:w="4382" w:type="dxa"/>
            <w:tcBorders>
              <w:top w:val="single" w:sz="4" w:space="0" w:color="auto"/>
              <w:left w:val="single" w:sz="4" w:space="0" w:color="auto"/>
            </w:tcBorders>
            <w:shd w:val="clear" w:color="auto" w:fill="FFFFFF"/>
            <w:vAlign w:val="center"/>
          </w:tcPr>
          <w:p w:rsidR="001D69BA" w:rsidRPr="00596C25" w:rsidRDefault="001D69BA" w:rsidP="005A6242">
            <w:pPr>
              <w:pStyle w:val="Other0"/>
              <w:ind w:firstLine="130"/>
              <w:rPr>
                <w:sz w:val="24"/>
                <w:szCs w:val="24"/>
              </w:rPr>
            </w:pPr>
            <w:r>
              <w:rPr>
                <w:sz w:val="24"/>
                <w:szCs w:val="24"/>
              </w:rPr>
              <w:t>Transporto priemonės</w:t>
            </w:r>
          </w:p>
        </w:tc>
        <w:tc>
          <w:tcPr>
            <w:tcW w:w="2698" w:type="dxa"/>
            <w:tcBorders>
              <w:top w:val="single" w:sz="4" w:space="0" w:color="auto"/>
              <w:left w:val="single" w:sz="4" w:space="0" w:color="auto"/>
            </w:tcBorders>
            <w:shd w:val="clear" w:color="auto" w:fill="FFFFFF"/>
            <w:vAlign w:val="center"/>
          </w:tcPr>
          <w:p w:rsidR="001D69BA" w:rsidRDefault="001D69BA" w:rsidP="005A6242">
            <w:pPr>
              <w:pStyle w:val="Other0"/>
              <w:jc w:val="center"/>
              <w:rPr>
                <w:sz w:val="24"/>
                <w:szCs w:val="24"/>
              </w:rPr>
            </w:pPr>
            <w:r>
              <w:rPr>
                <w:sz w:val="24"/>
                <w:szCs w:val="24"/>
              </w:rPr>
              <w:t>0,00</w:t>
            </w:r>
          </w:p>
        </w:tc>
        <w:tc>
          <w:tcPr>
            <w:tcW w:w="2707" w:type="dxa"/>
            <w:tcBorders>
              <w:top w:val="single" w:sz="4" w:space="0" w:color="auto"/>
              <w:left w:val="single" w:sz="4" w:space="0" w:color="auto"/>
              <w:right w:val="single" w:sz="4" w:space="0" w:color="auto"/>
            </w:tcBorders>
            <w:shd w:val="clear" w:color="auto" w:fill="FFFFFF"/>
            <w:vAlign w:val="center"/>
          </w:tcPr>
          <w:p w:rsidR="001D69BA" w:rsidRDefault="001D69BA" w:rsidP="005A6242">
            <w:pPr>
              <w:pStyle w:val="Other0"/>
              <w:jc w:val="center"/>
              <w:rPr>
                <w:sz w:val="24"/>
                <w:szCs w:val="24"/>
              </w:rPr>
            </w:pPr>
            <w:r>
              <w:rPr>
                <w:sz w:val="24"/>
                <w:szCs w:val="24"/>
              </w:rPr>
              <w:t>0,00</w:t>
            </w:r>
          </w:p>
        </w:tc>
      </w:tr>
      <w:tr w:rsidR="001D69BA" w:rsidRPr="00596C25" w:rsidTr="005A6242">
        <w:trPr>
          <w:trHeight w:hRule="exact" w:val="627"/>
          <w:jc w:val="center"/>
        </w:trPr>
        <w:tc>
          <w:tcPr>
            <w:tcW w:w="4382" w:type="dxa"/>
            <w:tcBorders>
              <w:top w:val="single" w:sz="4" w:space="0" w:color="auto"/>
              <w:left w:val="single" w:sz="4" w:space="0" w:color="auto"/>
            </w:tcBorders>
            <w:shd w:val="clear" w:color="auto" w:fill="FFFFFF"/>
            <w:vAlign w:val="center"/>
          </w:tcPr>
          <w:p w:rsidR="001D69BA" w:rsidRPr="00596C25" w:rsidRDefault="001D69BA" w:rsidP="005A6242">
            <w:pPr>
              <w:pStyle w:val="Other0"/>
              <w:ind w:firstLine="130"/>
              <w:rPr>
                <w:sz w:val="24"/>
                <w:szCs w:val="24"/>
              </w:rPr>
            </w:pPr>
            <w:r>
              <w:rPr>
                <w:sz w:val="24"/>
                <w:szCs w:val="24"/>
              </w:rPr>
              <w:t>Baldai, biuro įranga ir k</w:t>
            </w:r>
            <w:r w:rsidRPr="00596C25">
              <w:rPr>
                <w:sz w:val="24"/>
                <w:szCs w:val="24"/>
              </w:rPr>
              <w:t>itas</w:t>
            </w:r>
            <w:r>
              <w:rPr>
                <w:sz w:val="24"/>
                <w:szCs w:val="24"/>
              </w:rPr>
              <w:t xml:space="preserve"> materialus</w:t>
            </w:r>
            <w:r w:rsidRPr="00596C25">
              <w:rPr>
                <w:sz w:val="24"/>
                <w:szCs w:val="24"/>
              </w:rPr>
              <w:t xml:space="preserve"> ilgalaikis materialus turtas</w:t>
            </w:r>
          </w:p>
        </w:tc>
        <w:tc>
          <w:tcPr>
            <w:tcW w:w="2698" w:type="dxa"/>
            <w:tcBorders>
              <w:top w:val="single" w:sz="4" w:space="0" w:color="auto"/>
              <w:left w:val="single" w:sz="4" w:space="0" w:color="auto"/>
            </w:tcBorders>
            <w:shd w:val="clear" w:color="auto" w:fill="FFFFFF"/>
            <w:vAlign w:val="center"/>
          </w:tcPr>
          <w:p w:rsidR="001D69BA" w:rsidRPr="00596C25" w:rsidRDefault="001D69BA" w:rsidP="005A6242">
            <w:pPr>
              <w:pStyle w:val="Other0"/>
              <w:jc w:val="center"/>
              <w:rPr>
                <w:sz w:val="24"/>
                <w:szCs w:val="24"/>
              </w:rPr>
            </w:pPr>
            <w:r>
              <w:rPr>
                <w:sz w:val="24"/>
                <w:szCs w:val="24"/>
              </w:rPr>
              <w:t>7459,59</w:t>
            </w:r>
          </w:p>
        </w:tc>
        <w:tc>
          <w:tcPr>
            <w:tcW w:w="2707" w:type="dxa"/>
            <w:tcBorders>
              <w:top w:val="single" w:sz="4" w:space="0" w:color="auto"/>
              <w:left w:val="single" w:sz="4" w:space="0" w:color="auto"/>
              <w:right w:val="single" w:sz="4" w:space="0" w:color="auto"/>
            </w:tcBorders>
            <w:shd w:val="clear" w:color="auto" w:fill="FFFFFF"/>
            <w:vAlign w:val="center"/>
          </w:tcPr>
          <w:p w:rsidR="001D69BA" w:rsidRPr="00596C25" w:rsidRDefault="001D69BA" w:rsidP="005A6242">
            <w:pPr>
              <w:pStyle w:val="Other0"/>
              <w:jc w:val="center"/>
              <w:rPr>
                <w:sz w:val="24"/>
                <w:szCs w:val="24"/>
              </w:rPr>
            </w:pPr>
            <w:r>
              <w:rPr>
                <w:sz w:val="24"/>
                <w:szCs w:val="24"/>
              </w:rPr>
              <w:t>4412,07</w:t>
            </w:r>
          </w:p>
        </w:tc>
      </w:tr>
      <w:tr w:rsidR="001D69BA" w:rsidRPr="00596C25" w:rsidTr="005A6242">
        <w:trPr>
          <w:trHeight w:hRule="exact" w:val="379"/>
          <w:jc w:val="center"/>
        </w:trPr>
        <w:tc>
          <w:tcPr>
            <w:tcW w:w="4382" w:type="dxa"/>
            <w:tcBorders>
              <w:top w:val="single" w:sz="4" w:space="0" w:color="auto"/>
              <w:left w:val="single" w:sz="4" w:space="0" w:color="auto"/>
              <w:bottom w:val="single" w:sz="4" w:space="0" w:color="auto"/>
            </w:tcBorders>
            <w:shd w:val="clear" w:color="auto" w:fill="FFFFFF"/>
            <w:vAlign w:val="center"/>
          </w:tcPr>
          <w:p w:rsidR="001D69BA" w:rsidRPr="00596C25" w:rsidRDefault="001D69BA" w:rsidP="005A6242">
            <w:pPr>
              <w:pStyle w:val="Other0"/>
              <w:ind w:firstLine="130"/>
              <w:rPr>
                <w:sz w:val="24"/>
                <w:szCs w:val="24"/>
              </w:rPr>
            </w:pPr>
            <w:r>
              <w:rPr>
                <w:sz w:val="24"/>
                <w:szCs w:val="24"/>
              </w:rPr>
              <w:t>Nebaigta statyba</w:t>
            </w:r>
          </w:p>
        </w:tc>
        <w:tc>
          <w:tcPr>
            <w:tcW w:w="2698" w:type="dxa"/>
            <w:tcBorders>
              <w:top w:val="single" w:sz="4" w:space="0" w:color="auto"/>
              <w:left w:val="single" w:sz="4" w:space="0" w:color="auto"/>
              <w:bottom w:val="single" w:sz="4" w:space="0" w:color="auto"/>
            </w:tcBorders>
            <w:shd w:val="clear" w:color="auto" w:fill="FFFFFF"/>
            <w:vAlign w:val="center"/>
          </w:tcPr>
          <w:p w:rsidR="001D69BA" w:rsidRDefault="001D69BA" w:rsidP="005A6242">
            <w:pPr>
              <w:pStyle w:val="Other0"/>
              <w:jc w:val="center"/>
              <w:rPr>
                <w:sz w:val="24"/>
                <w:szCs w:val="24"/>
              </w:rPr>
            </w:pPr>
            <w:r>
              <w:rPr>
                <w:sz w:val="24"/>
                <w:szCs w:val="24"/>
              </w:rPr>
              <w:t>0,00</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Pr="00596C25" w:rsidRDefault="001D69BA" w:rsidP="005A6242">
            <w:pPr>
              <w:pStyle w:val="Other0"/>
              <w:jc w:val="center"/>
              <w:rPr>
                <w:sz w:val="24"/>
                <w:szCs w:val="24"/>
              </w:rPr>
            </w:pPr>
            <w:r>
              <w:rPr>
                <w:sz w:val="24"/>
                <w:szCs w:val="24"/>
              </w:rPr>
              <w:t>0,00</w:t>
            </w:r>
          </w:p>
        </w:tc>
      </w:tr>
      <w:tr w:rsidR="001D69BA" w:rsidRPr="00596C25" w:rsidTr="005A6242">
        <w:trPr>
          <w:trHeight w:hRule="exact" w:val="379"/>
          <w:jc w:val="center"/>
        </w:trPr>
        <w:tc>
          <w:tcPr>
            <w:tcW w:w="4382" w:type="dxa"/>
            <w:tcBorders>
              <w:top w:val="single" w:sz="4" w:space="0" w:color="auto"/>
              <w:left w:val="single" w:sz="4" w:space="0" w:color="auto"/>
              <w:bottom w:val="single" w:sz="4" w:space="0" w:color="auto"/>
            </w:tcBorders>
            <w:shd w:val="clear" w:color="auto" w:fill="FFFFFF"/>
            <w:vAlign w:val="center"/>
          </w:tcPr>
          <w:p w:rsidR="001D69BA" w:rsidRDefault="001D69BA" w:rsidP="005A6242">
            <w:pPr>
              <w:pStyle w:val="Other0"/>
              <w:ind w:firstLine="130"/>
              <w:rPr>
                <w:sz w:val="24"/>
                <w:szCs w:val="24"/>
              </w:rPr>
            </w:pPr>
            <w:r>
              <w:rPr>
                <w:sz w:val="24"/>
                <w:szCs w:val="24"/>
              </w:rPr>
              <w:t>Kiti statiniai</w:t>
            </w:r>
          </w:p>
        </w:tc>
        <w:tc>
          <w:tcPr>
            <w:tcW w:w="2698" w:type="dxa"/>
            <w:tcBorders>
              <w:top w:val="single" w:sz="4" w:space="0" w:color="auto"/>
              <w:left w:val="single" w:sz="4" w:space="0" w:color="auto"/>
              <w:bottom w:val="single" w:sz="4" w:space="0" w:color="auto"/>
            </w:tcBorders>
            <w:shd w:val="clear" w:color="auto" w:fill="FFFFFF"/>
            <w:vAlign w:val="center"/>
          </w:tcPr>
          <w:p w:rsidR="001D69BA" w:rsidRPr="002C32AA" w:rsidRDefault="001D69BA" w:rsidP="005A6242">
            <w:pPr>
              <w:pStyle w:val="Other0"/>
              <w:jc w:val="center"/>
              <w:rPr>
                <w:sz w:val="24"/>
                <w:szCs w:val="24"/>
              </w:rPr>
            </w:pPr>
            <w:r>
              <w:rPr>
                <w:sz w:val="24"/>
                <w:szCs w:val="24"/>
              </w:rPr>
              <w:t>66581,89</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Pr="002C32AA" w:rsidRDefault="001D69BA" w:rsidP="005A6242">
            <w:pPr>
              <w:pStyle w:val="Other0"/>
              <w:jc w:val="center"/>
              <w:rPr>
                <w:sz w:val="24"/>
                <w:szCs w:val="24"/>
              </w:rPr>
            </w:pPr>
            <w:r>
              <w:rPr>
                <w:sz w:val="24"/>
                <w:szCs w:val="24"/>
              </w:rPr>
              <w:t>30886,09</w:t>
            </w:r>
          </w:p>
        </w:tc>
      </w:tr>
    </w:tbl>
    <w:p w:rsidR="001D69BA" w:rsidRPr="009956C9" w:rsidRDefault="001D69BA" w:rsidP="001D69BA">
      <w:pPr>
        <w:pStyle w:val="Pagrindinistekstas"/>
        <w:spacing w:before="120" w:after="25" w:line="300" w:lineRule="auto"/>
        <w:ind w:firstLine="567"/>
        <w:jc w:val="both"/>
        <w:rPr>
          <w:sz w:val="24"/>
          <w:szCs w:val="24"/>
        </w:rPr>
      </w:pPr>
      <w:r w:rsidRPr="009956C9">
        <w:rPr>
          <w:sz w:val="24"/>
          <w:szCs w:val="24"/>
        </w:rPr>
        <w:t xml:space="preserve">Per ataskaitinį laikotarpį įsigyta naujo ilgalaikio materialiojo turto už </w:t>
      </w:r>
      <w:r>
        <w:rPr>
          <w:sz w:val="24"/>
          <w:szCs w:val="24"/>
        </w:rPr>
        <w:t>15500,00</w:t>
      </w:r>
      <w:r w:rsidRPr="009956C9">
        <w:rPr>
          <w:sz w:val="24"/>
          <w:szCs w:val="24"/>
        </w:rPr>
        <w:t xml:space="preserve"> </w:t>
      </w:r>
      <w:proofErr w:type="spellStart"/>
      <w:r w:rsidRPr="009956C9">
        <w:rPr>
          <w:sz w:val="24"/>
          <w:szCs w:val="24"/>
        </w:rPr>
        <w:t>Eur</w:t>
      </w:r>
      <w:proofErr w:type="spellEnd"/>
      <w:r w:rsidRPr="009956C9">
        <w:rPr>
          <w:sz w:val="24"/>
          <w:szCs w:val="24"/>
        </w:rPr>
        <w:t>.</w:t>
      </w:r>
      <w:r>
        <w:rPr>
          <w:sz w:val="24"/>
          <w:szCs w:val="24"/>
        </w:rPr>
        <w:t xml:space="preserve"> </w:t>
      </w:r>
      <w:r w:rsidRPr="009956C9">
        <w:rPr>
          <w:sz w:val="24"/>
          <w:szCs w:val="24"/>
        </w:rPr>
        <w:t>Ilgalaikio materialiojo turto balansinės vertės pasikeitimą per ataskaitinį laikotarpį įtakojo</w:t>
      </w:r>
      <w:r>
        <w:rPr>
          <w:sz w:val="24"/>
          <w:szCs w:val="24"/>
        </w:rPr>
        <w:t xml:space="preserve"> taip pat ir</w:t>
      </w:r>
      <w:r w:rsidRPr="009956C9">
        <w:rPr>
          <w:sz w:val="24"/>
          <w:szCs w:val="24"/>
        </w:rPr>
        <w:t xml:space="preserve"> sukauptas</w:t>
      </w:r>
      <w:r>
        <w:rPr>
          <w:sz w:val="24"/>
          <w:szCs w:val="24"/>
        </w:rPr>
        <w:t xml:space="preserve"> </w:t>
      </w:r>
      <w:r w:rsidRPr="009956C9">
        <w:rPr>
          <w:sz w:val="24"/>
          <w:szCs w:val="24"/>
        </w:rPr>
        <w:t>nusidėvėjimas.</w:t>
      </w:r>
    </w:p>
    <w:p w:rsidR="001D69BA" w:rsidRPr="009A0ABB" w:rsidRDefault="001D69BA" w:rsidP="001D69BA">
      <w:pPr>
        <w:pStyle w:val="Pagrindinistekstas"/>
        <w:numPr>
          <w:ilvl w:val="0"/>
          <w:numId w:val="2"/>
        </w:numPr>
        <w:tabs>
          <w:tab w:val="left" w:pos="363"/>
        </w:tabs>
        <w:spacing w:before="120" w:after="120" w:line="300" w:lineRule="auto"/>
        <w:rPr>
          <w:b/>
          <w:sz w:val="24"/>
          <w:szCs w:val="24"/>
        </w:rPr>
      </w:pPr>
      <w:bookmarkStart w:id="29" w:name="bookmark8"/>
      <w:bookmarkEnd w:id="29"/>
      <w:r w:rsidRPr="009A0ABB">
        <w:rPr>
          <w:b/>
          <w:sz w:val="24"/>
          <w:szCs w:val="24"/>
        </w:rPr>
        <w:t xml:space="preserve">Pastaba </w:t>
      </w:r>
      <w:proofErr w:type="spellStart"/>
      <w:r w:rsidRPr="009A0ABB">
        <w:rPr>
          <w:b/>
          <w:sz w:val="24"/>
          <w:szCs w:val="24"/>
        </w:rPr>
        <w:t>Nr</w:t>
      </w:r>
      <w:proofErr w:type="spellEnd"/>
      <w:r w:rsidRPr="009A0ABB">
        <w:rPr>
          <w:b/>
          <w:sz w:val="24"/>
          <w:szCs w:val="24"/>
        </w:rPr>
        <w:t>. P07. Biologinis turtas.</w:t>
      </w:r>
    </w:p>
    <w:p w:rsidR="001D69BA" w:rsidRPr="009956C9" w:rsidRDefault="001D69BA" w:rsidP="001D69BA">
      <w:pPr>
        <w:pStyle w:val="Pagrindinistekstas"/>
        <w:spacing w:before="25" w:after="25" w:line="300" w:lineRule="auto"/>
        <w:ind w:firstLine="567"/>
        <w:rPr>
          <w:sz w:val="24"/>
          <w:szCs w:val="24"/>
        </w:rPr>
      </w:pPr>
      <w:r w:rsidRPr="009956C9">
        <w:rPr>
          <w:sz w:val="24"/>
          <w:szCs w:val="24"/>
        </w:rPr>
        <w:lastRenderedPageBreak/>
        <w:t>Įstaiga neturi biologinio turto.</w:t>
      </w:r>
    </w:p>
    <w:p w:rsidR="001D69BA" w:rsidRPr="009A0ABB" w:rsidRDefault="001D69BA" w:rsidP="001D69BA">
      <w:pPr>
        <w:pStyle w:val="Pagrindinistekstas"/>
        <w:numPr>
          <w:ilvl w:val="0"/>
          <w:numId w:val="2"/>
        </w:numPr>
        <w:tabs>
          <w:tab w:val="left" w:pos="363"/>
        </w:tabs>
        <w:spacing w:before="120" w:after="120" w:line="300" w:lineRule="auto"/>
        <w:rPr>
          <w:b/>
          <w:sz w:val="24"/>
          <w:szCs w:val="24"/>
        </w:rPr>
      </w:pPr>
      <w:bookmarkStart w:id="30" w:name="bookmark9"/>
      <w:bookmarkEnd w:id="30"/>
      <w:r w:rsidRPr="009A0ABB">
        <w:rPr>
          <w:b/>
          <w:sz w:val="24"/>
          <w:szCs w:val="24"/>
        </w:rPr>
        <w:t xml:space="preserve">Pastaba </w:t>
      </w:r>
      <w:proofErr w:type="spellStart"/>
      <w:r w:rsidRPr="009A0ABB">
        <w:rPr>
          <w:b/>
          <w:sz w:val="24"/>
          <w:szCs w:val="24"/>
        </w:rPr>
        <w:t>Nr</w:t>
      </w:r>
      <w:proofErr w:type="spellEnd"/>
      <w:r w:rsidRPr="009A0ABB">
        <w:rPr>
          <w:b/>
          <w:sz w:val="24"/>
          <w:szCs w:val="24"/>
        </w:rPr>
        <w:t>. P05. Ilgalaikis finansinis turtas.</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5784"/>
        <w:gridCol w:w="3283"/>
      </w:tblGrid>
      <w:tr w:rsidR="001D69BA" w:rsidRPr="009A0ABB" w:rsidTr="005A6242">
        <w:trPr>
          <w:trHeight w:hRule="exact" w:val="648"/>
          <w:jc w:val="center"/>
        </w:trPr>
        <w:tc>
          <w:tcPr>
            <w:tcW w:w="72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jc w:val="center"/>
            </w:pPr>
            <w:proofErr w:type="spellStart"/>
            <w:r w:rsidRPr="009A0ABB">
              <w:t>Eil</w:t>
            </w:r>
            <w:proofErr w:type="spellEnd"/>
            <w:r w:rsidRPr="009A0ABB">
              <w:t>.</w:t>
            </w:r>
          </w:p>
          <w:p w:rsidR="001D69BA" w:rsidRPr="009A0ABB" w:rsidRDefault="001D69BA" w:rsidP="005A6242">
            <w:pPr>
              <w:pStyle w:val="Other0"/>
              <w:spacing w:before="25" w:after="25"/>
              <w:jc w:val="center"/>
            </w:pPr>
            <w:proofErr w:type="spellStart"/>
            <w:r w:rsidRPr="009A0ABB">
              <w:t>Nr</w:t>
            </w:r>
            <w:proofErr w:type="spellEnd"/>
            <w:r w:rsidRPr="009A0ABB">
              <w:t>.</w:t>
            </w:r>
          </w:p>
        </w:tc>
        <w:tc>
          <w:tcPr>
            <w:tcW w:w="5784"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120"/>
            </w:pPr>
            <w:r w:rsidRPr="009A0ABB">
              <w:t>Sukauptos ilgalaikės gautinos sumos</w:t>
            </w:r>
          </w:p>
        </w:tc>
        <w:tc>
          <w:tcPr>
            <w:tcW w:w="3283"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rsidRPr="009A0ABB">
              <w:t>Suma (</w:t>
            </w:r>
            <w:proofErr w:type="spellStart"/>
            <w:r w:rsidRPr="009A0ABB">
              <w:t>Eur</w:t>
            </w:r>
            <w:proofErr w:type="spellEnd"/>
            <w:r w:rsidRPr="009A0ABB">
              <w:t>)</w:t>
            </w:r>
          </w:p>
        </w:tc>
      </w:tr>
      <w:tr w:rsidR="001D69BA" w:rsidRPr="009A0ABB" w:rsidTr="005A6242">
        <w:trPr>
          <w:trHeight w:hRule="exact" w:val="331"/>
          <w:jc w:val="center"/>
        </w:trPr>
        <w:tc>
          <w:tcPr>
            <w:tcW w:w="720"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jc w:val="center"/>
            </w:pPr>
            <w:r w:rsidRPr="009A0ABB">
              <w:t>1.</w:t>
            </w:r>
          </w:p>
        </w:tc>
        <w:tc>
          <w:tcPr>
            <w:tcW w:w="5784"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left="113"/>
            </w:pPr>
            <w:r w:rsidRPr="009A0ABB">
              <w:t>Sukauptos ilgalaikės gautinos sumos</w:t>
            </w:r>
          </w:p>
        </w:tc>
        <w:tc>
          <w:tcPr>
            <w:tcW w:w="3283"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6385,08</w:t>
            </w:r>
          </w:p>
        </w:tc>
      </w:tr>
    </w:tbl>
    <w:p w:rsidR="001D69BA" w:rsidRPr="009956C9" w:rsidRDefault="001D69BA" w:rsidP="001D69BA">
      <w:pPr>
        <w:pStyle w:val="Pagrindinistekstas"/>
        <w:spacing w:before="120" w:after="25" w:line="300" w:lineRule="auto"/>
        <w:ind w:firstLine="567"/>
        <w:jc w:val="both"/>
        <w:rPr>
          <w:sz w:val="24"/>
          <w:szCs w:val="24"/>
        </w:rPr>
      </w:pPr>
      <w:bookmarkStart w:id="31" w:name="bookmark10"/>
      <w:bookmarkEnd w:id="31"/>
      <w:r w:rsidRPr="009956C9">
        <w:rPr>
          <w:sz w:val="24"/>
          <w:szCs w:val="24"/>
        </w:rPr>
        <w:t xml:space="preserve">Įstaigos ilgalaikį finansinį turtą laikotarpio pabaigoje sudaro ilgalaikiai </w:t>
      </w:r>
      <w:proofErr w:type="spellStart"/>
      <w:r w:rsidRPr="009956C9">
        <w:rPr>
          <w:sz w:val="24"/>
          <w:szCs w:val="24"/>
        </w:rPr>
        <w:t>atidėjiniai</w:t>
      </w:r>
      <w:proofErr w:type="spellEnd"/>
      <w:r w:rsidRPr="009956C9">
        <w:rPr>
          <w:sz w:val="24"/>
          <w:szCs w:val="24"/>
        </w:rPr>
        <w:t xml:space="preserve"> (kompensacijos darbuotojams).</w:t>
      </w:r>
    </w:p>
    <w:p w:rsidR="001D69BA" w:rsidRDefault="001D69BA" w:rsidP="001D69BA">
      <w:pPr>
        <w:pStyle w:val="Pagrindinistekstas"/>
        <w:numPr>
          <w:ilvl w:val="0"/>
          <w:numId w:val="2"/>
        </w:numPr>
        <w:tabs>
          <w:tab w:val="left" w:pos="358"/>
        </w:tabs>
        <w:spacing w:before="120" w:after="120" w:line="300" w:lineRule="auto"/>
        <w:jc w:val="both"/>
        <w:rPr>
          <w:b/>
          <w:sz w:val="24"/>
          <w:szCs w:val="24"/>
        </w:rPr>
      </w:pPr>
      <w:r w:rsidRPr="009A0ABB">
        <w:rPr>
          <w:b/>
          <w:sz w:val="24"/>
          <w:szCs w:val="24"/>
        </w:rPr>
        <w:t xml:space="preserve">Pastaba </w:t>
      </w:r>
      <w:proofErr w:type="spellStart"/>
      <w:r w:rsidRPr="009A0ABB">
        <w:rPr>
          <w:b/>
          <w:sz w:val="24"/>
          <w:szCs w:val="24"/>
        </w:rPr>
        <w:t>Nr</w:t>
      </w:r>
      <w:proofErr w:type="spellEnd"/>
      <w:r w:rsidRPr="009A0ABB">
        <w:rPr>
          <w:b/>
          <w:sz w:val="24"/>
          <w:szCs w:val="24"/>
        </w:rPr>
        <w:t>. P08. Atsargos.</w:t>
      </w:r>
    </w:p>
    <w:p w:rsidR="001D69BA" w:rsidRDefault="001D69BA" w:rsidP="001D69BA">
      <w:pPr>
        <w:pStyle w:val="Pagrindinistekstas"/>
        <w:spacing w:after="140" w:line="360" w:lineRule="auto"/>
        <w:ind w:firstLine="567"/>
        <w:jc w:val="both"/>
        <w:rPr>
          <w:sz w:val="24"/>
          <w:szCs w:val="24"/>
        </w:rPr>
      </w:pPr>
      <w:r>
        <w:rPr>
          <w:sz w:val="24"/>
          <w:szCs w:val="24"/>
        </w:rPr>
        <w:t xml:space="preserve">Ataskaitinio laikotarpio pabaigoje medžiagų, žaliavų ir ūkinio inventoriaus likutis sudarė 1400,45 </w:t>
      </w:r>
      <w:proofErr w:type="spellStart"/>
      <w:r>
        <w:rPr>
          <w:sz w:val="24"/>
          <w:szCs w:val="24"/>
        </w:rPr>
        <w:t>Eur</w:t>
      </w:r>
      <w:proofErr w:type="spellEnd"/>
      <w:r>
        <w:rPr>
          <w:sz w:val="24"/>
          <w:szCs w:val="24"/>
        </w:rPr>
        <w:t xml:space="preserve">. Per ataskaitinį laikotarpį neatlygintai gauta atsargų už 3285,59  </w:t>
      </w:r>
      <w:proofErr w:type="spellStart"/>
      <w:r>
        <w:rPr>
          <w:sz w:val="24"/>
          <w:szCs w:val="24"/>
        </w:rPr>
        <w:t>Eur</w:t>
      </w:r>
      <w:proofErr w:type="spellEnd"/>
      <w:r>
        <w:rPr>
          <w:sz w:val="24"/>
          <w:szCs w:val="24"/>
        </w:rPr>
        <w:t>.</w:t>
      </w:r>
    </w:p>
    <w:p w:rsidR="001D69BA" w:rsidRPr="00224749" w:rsidRDefault="001D69BA" w:rsidP="001D69BA">
      <w:pPr>
        <w:pStyle w:val="Pagrindinistekstas"/>
        <w:numPr>
          <w:ilvl w:val="0"/>
          <w:numId w:val="2"/>
        </w:numPr>
        <w:tabs>
          <w:tab w:val="left" w:pos="358"/>
        </w:tabs>
        <w:spacing w:before="120" w:after="120" w:line="300" w:lineRule="auto"/>
        <w:jc w:val="both"/>
        <w:rPr>
          <w:b/>
          <w:sz w:val="24"/>
          <w:szCs w:val="24"/>
        </w:rPr>
      </w:pPr>
      <w:r w:rsidRPr="00224749">
        <w:rPr>
          <w:b/>
          <w:sz w:val="24"/>
          <w:szCs w:val="24"/>
        </w:rPr>
        <w:t xml:space="preserve">Pastaba </w:t>
      </w:r>
      <w:proofErr w:type="spellStart"/>
      <w:r w:rsidRPr="00224749">
        <w:rPr>
          <w:b/>
          <w:sz w:val="24"/>
          <w:szCs w:val="24"/>
        </w:rPr>
        <w:t>Nr</w:t>
      </w:r>
      <w:proofErr w:type="spellEnd"/>
      <w:r w:rsidRPr="00224749">
        <w:rPr>
          <w:b/>
          <w:sz w:val="24"/>
          <w:szCs w:val="24"/>
        </w:rPr>
        <w:t>. P09. Išankstiniai apmokėjimai.</w:t>
      </w:r>
    </w:p>
    <w:p w:rsidR="001D69BA" w:rsidRPr="009956C9" w:rsidRDefault="001D69BA" w:rsidP="001D69BA">
      <w:pPr>
        <w:pStyle w:val="Pagrindinistekstas"/>
        <w:spacing w:before="25" w:after="25" w:line="300" w:lineRule="auto"/>
        <w:ind w:firstLine="567"/>
        <w:jc w:val="both"/>
        <w:rPr>
          <w:sz w:val="24"/>
          <w:szCs w:val="24"/>
        </w:rPr>
      </w:pPr>
      <w:r w:rsidRPr="009956C9">
        <w:rPr>
          <w:sz w:val="24"/>
          <w:szCs w:val="24"/>
        </w:rPr>
        <w:t>Finansinėse ataskaitoje ataskaitinio laikotarpio pabaigai išankstinius mokėjimus sudaro:</w:t>
      </w:r>
    </w:p>
    <w:p w:rsidR="001D69BA" w:rsidRPr="009956C9" w:rsidRDefault="001D69BA" w:rsidP="001D69BA">
      <w:pPr>
        <w:pStyle w:val="Tablecaption0"/>
        <w:spacing w:before="25" w:after="120" w:line="300" w:lineRule="auto"/>
        <w:ind w:left="403"/>
        <w:rPr>
          <w:sz w:val="24"/>
          <w:szCs w:val="24"/>
        </w:rPr>
      </w:pPr>
      <w:r w:rsidRPr="009956C9">
        <w:rPr>
          <w:sz w:val="24"/>
          <w:szCs w:val="24"/>
        </w:rPr>
        <w:t xml:space="preserve">• Ateinančių laikotarpių sąnaudos </w:t>
      </w:r>
      <w:r>
        <w:rPr>
          <w:sz w:val="24"/>
          <w:szCs w:val="24"/>
        </w:rPr>
        <w:t>0,00</w:t>
      </w:r>
      <w:r w:rsidRPr="009956C9">
        <w:rPr>
          <w:sz w:val="24"/>
          <w:szCs w:val="24"/>
        </w:rPr>
        <w:t xml:space="preserve"> </w:t>
      </w:r>
      <w:proofErr w:type="spellStart"/>
      <w:r w:rsidRPr="009956C9">
        <w:rPr>
          <w:sz w:val="24"/>
          <w:szCs w:val="24"/>
        </w:rPr>
        <w:t>Eur</w:t>
      </w:r>
      <w:proofErr w:type="spellEnd"/>
      <w:r w:rsidRPr="009956C9">
        <w:rPr>
          <w:sz w:val="24"/>
          <w:szCs w:val="24"/>
        </w:rPr>
        <w:t>:</w:t>
      </w:r>
    </w:p>
    <w:tbl>
      <w:tblPr>
        <w:tblOverlap w:val="neve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5"/>
        <w:gridCol w:w="5808"/>
        <w:gridCol w:w="3264"/>
      </w:tblGrid>
      <w:tr w:rsidR="001D69BA" w:rsidRPr="009A0ABB" w:rsidTr="005A6242">
        <w:trPr>
          <w:trHeight w:hRule="exact" w:val="648"/>
          <w:jc w:val="center"/>
        </w:trPr>
        <w:tc>
          <w:tcPr>
            <w:tcW w:w="715" w:type="dxa"/>
            <w:shd w:val="clear" w:color="auto" w:fill="FFFFFF"/>
            <w:vAlign w:val="center"/>
          </w:tcPr>
          <w:p w:rsidR="001D69BA" w:rsidRPr="009A0ABB" w:rsidRDefault="001D69BA" w:rsidP="005A6242">
            <w:pPr>
              <w:pStyle w:val="Other0"/>
              <w:spacing w:before="25" w:after="25"/>
              <w:jc w:val="center"/>
            </w:pPr>
            <w:proofErr w:type="spellStart"/>
            <w:r w:rsidRPr="009A0ABB">
              <w:t>Eil</w:t>
            </w:r>
            <w:proofErr w:type="spellEnd"/>
            <w:r w:rsidRPr="009A0ABB">
              <w:t>.</w:t>
            </w:r>
          </w:p>
          <w:p w:rsidR="001D69BA" w:rsidRPr="009A0ABB" w:rsidRDefault="001D69BA" w:rsidP="005A6242">
            <w:pPr>
              <w:pStyle w:val="Other0"/>
              <w:spacing w:before="25" w:after="25"/>
              <w:jc w:val="center"/>
            </w:pPr>
            <w:proofErr w:type="spellStart"/>
            <w:r w:rsidRPr="009A0ABB">
              <w:t>Nr</w:t>
            </w:r>
            <w:proofErr w:type="spellEnd"/>
            <w:r w:rsidRPr="009A0ABB">
              <w:t>.</w:t>
            </w:r>
          </w:p>
        </w:tc>
        <w:tc>
          <w:tcPr>
            <w:tcW w:w="5808" w:type="dxa"/>
            <w:shd w:val="clear" w:color="auto" w:fill="FFFFFF"/>
            <w:vAlign w:val="center"/>
          </w:tcPr>
          <w:p w:rsidR="001D69BA" w:rsidRPr="009A0ABB" w:rsidRDefault="001D69BA" w:rsidP="005A6242">
            <w:pPr>
              <w:pStyle w:val="Other0"/>
              <w:spacing w:before="25" w:after="25"/>
              <w:ind w:left="2500"/>
            </w:pPr>
            <w:r w:rsidRPr="009A0ABB">
              <w:t>Tiekėjai</w:t>
            </w:r>
          </w:p>
        </w:tc>
        <w:tc>
          <w:tcPr>
            <w:tcW w:w="3264" w:type="dxa"/>
            <w:shd w:val="clear" w:color="auto" w:fill="FFFFFF"/>
            <w:vAlign w:val="center"/>
          </w:tcPr>
          <w:p w:rsidR="001D69BA" w:rsidRPr="009A0ABB" w:rsidRDefault="001D69BA" w:rsidP="005A6242">
            <w:pPr>
              <w:pStyle w:val="Other0"/>
              <w:spacing w:before="25" w:after="25"/>
              <w:jc w:val="center"/>
            </w:pPr>
            <w:r w:rsidRPr="009A0ABB">
              <w:t>Suma (</w:t>
            </w:r>
            <w:proofErr w:type="spellStart"/>
            <w:r w:rsidRPr="009A0ABB">
              <w:t>Eur</w:t>
            </w:r>
            <w:proofErr w:type="spellEnd"/>
            <w:r w:rsidRPr="009A0ABB">
              <w:t>)</w:t>
            </w:r>
          </w:p>
        </w:tc>
      </w:tr>
      <w:tr w:rsidR="001D69BA" w:rsidRPr="009A0ABB" w:rsidTr="005A6242">
        <w:trPr>
          <w:trHeight w:hRule="exact" w:val="326"/>
          <w:jc w:val="center"/>
        </w:trPr>
        <w:tc>
          <w:tcPr>
            <w:tcW w:w="715" w:type="dxa"/>
            <w:shd w:val="clear" w:color="auto" w:fill="FFFFFF"/>
            <w:vAlign w:val="center"/>
          </w:tcPr>
          <w:p w:rsidR="001D69BA" w:rsidRPr="009A0ABB" w:rsidRDefault="001D69BA" w:rsidP="005A6242">
            <w:pPr>
              <w:pStyle w:val="Other0"/>
              <w:spacing w:before="25" w:after="25"/>
              <w:ind w:firstLine="260"/>
            </w:pPr>
            <w:r w:rsidRPr="009A0ABB">
              <w:t>1.</w:t>
            </w:r>
          </w:p>
        </w:tc>
        <w:tc>
          <w:tcPr>
            <w:tcW w:w="5808" w:type="dxa"/>
            <w:shd w:val="clear" w:color="auto" w:fill="FFFFFF"/>
            <w:vAlign w:val="center"/>
          </w:tcPr>
          <w:p w:rsidR="001D69BA" w:rsidRPr="009A0ABB" w:rsidRDefault="001D69BA" w:rsidP="005A6242">
            <w:pPr>
              <w:pStyle w:val="Other0"/>
              <w:spacing w:before="25" w:after="25"/>
              <w:ind w:left="125"/>
              <w:jc w:val="center"/>
            </w:pPr>
          </w:p>
        </w:tc>
        <w:tc>
          <w:tcPr>
            <w:tcW w:w="3264" w:type="dxa"/>
            <w:shd w:val="clear" w:color="auto" w:fill="FFFFFF"/>
            <w:vAlign w:val="center"/>
          </w:tcPr>
          <w:p w:rsidR="001D69BA" w:rsidRPr="009A0ABB" w:rsidRDefault="001D69BA" w:rsidP="005A6242">
            <w:pPr>
              <w:pStyle w:val="Other0"/>
              <w:spacing w:before="25" w:after="25"/>
              <w:jc w:val="center"/>
            </w:pPr>
          </w:p>
        </w:tc>
      </w:tr>
    </w:tbl>
    <w:p w:rsidR="001D69BA" w:rsidRDefault="001D69BA" w:rsidP="001D69BA">
      <w:pPr>
        <w:pStyle w:val="Tablecaption0"/>
        <w:ind w:left="403"/>
        <w:rPr>
          <w:sz w:val="24"/>
          <w:szCs w:val="24"/>
        </w:rPr>
      </w:pPr>
      <w:r w:rsidRPr="00596C25">
        <w:rPr>
          <w:sz w:val="24"/>
          <w:szCs w:val="24"/>
        </w:rPr>
        <w:t xml:space="preserve">• Išankstiniai apmokėjimai tiekėjams </w:t>
      </w:r>
      <w:r>
        <w:rPr>
          <w:sz w:val="24"/>
          <w:szCs w:val="24"/>
        </w:rPr>
        <w:t>2,08</w:t>
      </w:r>
      <w:r w:rsidRPr="00596C25">
        <w:rPr>
          <w:sz w:val="24"/>
          <w:szCs w:val="24"/>
        </w:rPr>
        <w:t xml:space="preserve"> </w:t>
      </w:r>
      <w:proofErr w:type="spellStart"/>
      <w:r w:rsidRPr="00596C25">
        <w:rPr>
          <w:sz w:val="24"/>
          <w:szCs w:val="24"/>
        </w:rPr>
        <w:t>Eur</w:t>
      </w:r>
      <w:proofErr w:type="spellEnd"/>
      <w:r w:rsidRPr="00596C25">
        <w:rPr>
          <w:sz w:val="24"/>
          <w:szCs w:val="24"/>
        </w:rPr>
        <w:t>:</w:t>
      </w:r>
    </w:p>
    <w:p w:rsidR="001D69BA" w:rsidRPr="00596C25" w:rsidRDefault="001D69BA" w:rsidP="001D69BA">
      <w:pPr>
        <w:pStyle w:val="Tablecaption0"/>
        <w:ind w:left="403"/>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78"/>
        <w:gridCol w:w="5765"/>
        <w:gridCol w:w="3245"/>
      </w:tblGrid>
      <w:tr w:rsidR="001D69BA" w:rsidRPr="00596C25" w:rsidTr="005A6242">
        <w:trPr>
          <w:trHeight w:hRule="exact" w:val="653"/>
          <w:jc w:val="center"/>
        </w:trPr>
        <w:tc>
          <w:tcPr>
            <w:tcW w:w="778" w:type="dxa"/>
            <w:tcBorders>
              <w:top w:val="single" w:sz="4" w:space="0" w:color="auto"/>
              <w:left w:val="single" w:sz="4" w:space="0" w:color="auto"/>
            </w:tcBorders>
            <w:shd w:val="clear" w:color="auto" w:fill="FFFFFF"/>
          </w:tcPr>
          <w:p w:rsidR="001D69BA" w:rsidRPr="00596C25" w:rsidRDefault="001D69BA" w:rsidP="005A6242">
            <w:pPr>
              <w:pStyle w:val="Other0"/>
              <w:spacing w:after="40"/>
              <w:jc w:val="center"/>
              <w:rPr>
                <w:sz w:val="24"/>
                <w:szCs w:val="24"/>
              </w:rPr>
            </w:pPr>
            <w:proofErr w:type="spellStart"/>
            <w:r w:rsidRPr="00596C25">
              <w:rPr>
                <w:sz w:val="24"/>
                <w:szCs w:val="24"/>
              </w:rPr>
              <w:t>Eil</w:t>
            </w:r>
            <w:proofErr w:type="spellEnd"/>
            <w:r w:rsidRPr="00596C25">
              <w:rPr>
                <w:sz w:val="24"/>
                <w:szCs w:val="24"/>
              </w:rPr>
              <w:t>.</w:t>
            </w:r>
          </w:p>
          <w:p w:rsidR="001D69BA" w:rsidRPr="00596C25" w:rsidRDefault="001D69BA" w:rsidP="005A6242">
            <w:pPr>
              <w:pStyle w:val="Other0"/>
              <w:jc w:val="center"/>
              <w:rPr>
                <w:sz w:val="24"/>
                <w:szCs w:val="24"/>
              </w:rPr>
            </w:pPr>
            <w:proofErr w:type="spellStart"/>
            <w:r w:rsidRPr="00596C25">
              <w:rPr>
                <w:sz w:val="24"/>
                <w:szCs w:val="24"/>
              </w:rPr>
              <w:t>Nr</w:t>
            </w:r>
            <w:proofErr w:type="spellEnd"/>
            <w:r w:rsidRPr="00596C25">
              <w:rPr>
                <w:sz w:val="24"/>
                <w:szCs w:val="24"/>
              </w:rPr>
              <w:t>.</w:t>
            </w:r>
          </w:p>
        </w:tc>
        <w:tc>
          <w:tcPr>
            <w:tcW w:w="5765" w:type="dxa"/>
            <w:tcBorders>
              <w:top w:val="single" w:sz="4" w:space="0" w:color="auto"/>
              <w:left w:val="single" w:sz="4" w:space="0" w:color="auto"/>
            </w:tcBorders>
            <w:shd w:val="clear" w:color="auto" w:fill="FFFFFF"/>
          </w:tcPr>
          <w:p w:rsidR="001D69BA" w:rsidRPr="00596C25" w:rsidRDefault="001D69BA" w:rsidP="005A6242">
            <w:pPr>
              <w:pStyle w:val="Other0"/>
              <w:jc w:val="center"/>
              <w:rPr>
                <w:sz w:val="24"/>
                <w:szCs w:val="24"/>
              </w:rPr>
            </w:pPr>
            <w:r w:rsidRPr="00596C25">
              <w:rPr>
                <w:sz w:val="24"/>
                <w:szCs w:val="24"/>
              </w:rPr>
              <w:t>Tiekėjai</w:t>
            </w:r>
          </w:p>
        </w:tc>
        <w:tc>
          <w:tcPr>
            <w:tcW w:w="3245" w:type="dxa"/>
            <w:tcBorders>
              <w:top w:val="single" w:sz="4" w:space="0" w:color="auto"/>
              <w:left w:val="single" w:sz="4" w:space="0" w:color="auto"/>
              <w:right w:val="single" w:sz="4" w:space="0" w:color="auto"/>
            </w:tcBorders>
            <w:shd w:val="clear" w:color="auto" w:fill="FFFFFF"/>
            <w:vAlign w:val="center"/>
          </w:tcPr>
          <w:p w:rsidR="001D69BA" w:rsidRPr="00596C25" w:rsidRDefault="001D69BA" w:rsidP="005A6242">
            <w:pPr>
              <w:pStyle w:val="Other0"/>
              <w:jc w:val="center"/>
              <w:rPr>
                <w:sz w:val="24"/>
                <w:szCs w:val="24"/>
              </w:rPr>
            </w:pPr>
            <w:r w:rsidRPr="00596C25">
              <w:rPr>
                <w:sz w:val="24"/>
                <w:szCs w:val="24"/>
              </w:rPr>
              <w:t>Suma (</w:t>
            </w:r>
            <w:proofErr w:type="spellStart"/>
            <w:r w:rsidRPr="00596C25">
              <w:rPr>
                <w:sz w:val="24"/>
                <w:szCs w:val="24"/>
              </w:rPr>
              <w:t>Eur</w:t>
            </w:r>
            <w:proofErr w:type="spellEnd"/>
            <w:r w:rsidRPr="00596C25">
              <w:rPr>
                <w:sz w:val="24"/>
                <w:szCs w:val="24"/>
              </w:rPr>
              <w:t>)</w:t>
            </w:r>
          </w:p>
        </w:tc>
      </w:tr>
      <w:tr w:rsidR="001D69BA" w:rsidRPr="00596C25" w:rsidTr="005A6242">
        <w:trPr>
          <w:trHeight w:hRule="exact" w:val="336"/>
          <w:jc w:val="center"/>
        </w:trPr>
        <w:tc>
          <w:tcPr>
            <w:tcW w:w="778" w:type="dxa"/>
            <w:tcBorders>
              <w:top w:val="single" w:sz="4" w:space="0" w:color="auto"/>
              <w:left w:val="single" w:sz="4" w:space="0" w:color="auto"/>
              <w:bottom w:val="single" w:sz="4" w:space="0" w:color="auto"/>
            </w:tcBorders>
            <w:shd w:val="clear" w:color="auto" w:fill="FFFFFF"/>
            <w:vAlign w:val="center"/>
          </w:tcPr>
          <w:p w:rsidR="001D69BA" w:rsidRPr="00596C25" w:rsidRDefault="001D69BA" w:rsidP="005A6242">
            <w:pPr>
              <w:pStyle w:val="Other0"/>
              <w:jc w:val="center"/>
              <w:rPr>
                <w:sz w:val="24"/>
                <w:szCs w:val="24"/>
              </w:rPr>
            </w:pPr>
            <w:r w:rsidRPr="00596C25">
              <w:rPr>
                <w:sz w:val="24"/>
                <w:szCs w:val="24"/>
              </w:rPr>
              <w:t>1.</w:t>
            </w:r>
          </w:p>
        </w:tc>
        <w:tc>
          <w:tcPr>
            <w:tcW w:w="5765" w:type="dxa"/>
            <w:tcBorders>
              <w:top w:val="single" w:sz="4" w:space="0" w:color="auto"/>
              <w:left w:val="single" w:sz="4" w:space="0" w:color="auto"/>
              <w:bottom w:val="single" w:sz="4" w:space="0" w:color="auto"/>
            </w:tcBorders>
            <w:shd w:val="clear" w:color="auto" w:fill="FFFFFF"/>
            <w:vAlign w:val="center"/>
          </w:tcPr>
          <w:p w:rsidR="001D69BA" w:rsidRPr="00596C25" w:rsidRDefault="001D69BA" w:rsidP="005A6242">
            <w:pPr>
              <w:pStyle w:val="Other0"/>
              <w:jc w:val="center"/>
              <w:rPr>
                <w:sz w:val="24"/>
                <w:szCs w:val="24"/>
              </w:rPr>
            </w:pPr>
            <w:r>
              <w:rPr>
                <w:sz w:val="24"/>
                <w:szCs w:val="24"/>
              </w:rPr>
              <w:t>AB Telia Lietuva</w:t>
            </w:r>
          </w:p>
        </w:tc>
        <w:tc>
          <w:tcPr>
            <w:tcW w:w="3245"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Pr="00596C25" w:rsidRDefault="001D69BA" w:rsidP="005A6242">
            <w:pPr>
              <w:pStyle w:val="Other0"/>
              <w:jc w:val="center"/>
              <w:rPr>
                <w:sz w:val="24"/>
                <w:szCs w:val="24"/>
              </w:rPr>
            </w:pPr>
            <w:r>
              <w:rPr>
                <w:sz w:val="24"/>
                <w:szCs w:val="24"/>
              </w:rPr>
              <w:t>2,08</w:t>
            </w:r>
          </w:p>
        </w:tc>
      </w:tr>
    </w:tbl>
    <w:p w:rsidR="001D69BA" w:rsidRDefault="001D69BA" w:rsidP="001D69BA">
      <w:pPr>
        <w:pStyle w:val="Pagrindinistekstas"/>
        <w:tabs>
          <w:tab w:val="left" w:pos="358"/>
        </w:tabs>
        <w:spacing w:before="120" w:after="120" w:line="300" w:lineRule="auto"/>
        <w:jc w:val="both"/>
        <w:rPr>
          <w:b/>
          <w:sz w:val="24"/>
          <w:szCs w:val="24"/>
        </w:rPr>
      </w:pPr>
    </w:p>
    <w:p w:rsidR="001D69BA" w:rsidRPr="00224749" w:rsidRDefault="001D69BA" w:rsidP="001D69BA">
      <w:pPr>
        <w:pStyle w:val="Pagrindinistekstas"/>
        <w:numPr>
          <w:ilvl w:val="0"/>
          <w:numId w:val="2"/>
        </w:numPr>
        <w:tabs>
          <w:tab w:val="left" w:pos="358"/>
        </w:tabs>
        <w:spacing w:before="120" w:after="120" w:line="300" w:lineRule="auto"/>
        <w:jc w:val="both"/>
        <w:rPr>
          <w:b/>
          <w:sz w:val="24"/>
          <w:szCs w:val="24"/>
        </w:rPr>
      </w:pPr>
      <w:r w:rsidRPr="00224749">
        <w:rPr>
          <w:b/>
          <w:sz w:val="24"/>
          <w:szCs w:val="24"/>
        </w:rPr>
        <w:t xml:space="preserve">Pastaba </w:t>
      </w:r>
      <w:proofErr w:type="spellStart"/>
      <w:r w:rsidRPr="00224749">
        <w:rPr>
          <w:b/>
          <w:sz w:val="24"/>
          <w:szCs w:val="24"/>
        </w:rPr>
        <w:t>Nr</w:t>
      </w:r>
      <w:proofErr w:type="spellEnd"/>
      <w:r w:rsidRPr="00224749">
        <w:rPr>
          <w:b/>
          <w:sz w:val="24"/>
          <w:szCs w:val="24"/>
        </w:rPr>
        <w:t>. P</w:t>
      </w:r>
      <w:r>
        <w:rPr>
          <w:b/>
          <w:sz w:val="24"/>
          <w:szCs w:val="24"/>
        </w:rPr>
        <w:t xml:space="preserve">10. </w:t>
      </w:r>
      <w:r w:rsidRPr="009A0ABB">
        <w:rPr>
          <w:b/>
          <w:sz w:val="24"/>
          <w:szCs w:val="24"/>
        </w:rPr>
        <w:t>Per vienus metus gautinos sumos.</w:t>
      </w:r>
    </w:p>
    <w:p w:rsidR="001D69BA" w:rsidRPr="009956C9" w:rsidRDefault="001D69BA" w:rsidP="001D69BA">
      <w:pPr>
        <w:spacing w:before="25" w:after="25" w:line="300" w:lineRule="auto"/>
        <w:ind w:firstLine="567"/>
        <w:jc w:val="both"/>
        <w:rPr>
          <w:rFonts w:ascii="Times New Roman" w:hAnsi="Times New Roman" w:cs="Times New Roman"/>
        </w:rPr>
      </w:pPr>
      <w:r w:rsidRPr="009956C9">
        <w:rPr>
          <w:rFonts w:ascii="Times New Roman" w:hAnsi="Times New Roman" w:cs="Times New Roman"/>
        </w:rPr>
        <w:t xml:space="preserve">Ataskaitinio laikotarpio per vienus metus gautinos sumos sudaro </w:t>
      </w:r>
      <w:r>
        <w:rPr>
          <w:rFonts w:ascii="Times New Roman" w:hAnsi="Times New Roman" w:cs="Times New Roman"/>
        </w:rPr>
        <w:t>82647,83</w:t>
      </w:r>
      <w:r w:rsidRPr="009956C9">
        <w:rPr>
          <w:rFonts w:ascii="Times New Roman" w:hAnsi="Times New Roman" w:cs="Times New Roman"/>
        </w:rPr>
        <w:t xml:space="preserve"> </w:t>
      </w:r>
      <w:proofErr w:type="spellStart"/>
      <w:r w:rsidRPr="009956C9">
        <w:rPr>
          <w:rFonts w:ascii="Times New Roman" w:hAnsi="Times New Roman" w:cs="Times New Roman"/>
        </w:rPr>
        <w:t>Eur</w:t>
      </w:r>
      <w:proofErr w:type="spellEnd"/>
      <w:r w:rsidRPr="009956C9">
        <w:rPr>
          <w:rFonts w:ascii="Times New Roman" w:hAnsi="Times New Roman" w:cs="Times New Roman"/>
        </w:rPr>
        <w:t>, iš jų:</w:t>
      </w:r>
    </w:p>
    <w:p w:rsidR="001D69BA" w:rsidRPr="009956C9" w:rsidRDefault="001D69BA" w:rsidP="001D69BA">
      <w:pPr>
        <w:pStyle w:val="Pagrindinistekstas"/>
        <w:spacing w:before="25" w:after="120" w:line="300" w:lineRule="auto"/>
        <w:ind w:firstLine="380"/>
        <w:jc w:val="both"/>
        <w:rPr>
          <w:sz w:val="24"/>
          <w:szCs w:val="24"/>
        </w:rPr>
      </w:pPr>
      <w:r w:rsidRPr="009956C9">
        <w:rPr>
          <w:sz w:val="24"/>
          <w:szCs w:val="24"/>
        </w:rPr>
        <w:t xml:space="preserve">• Gautinos sumos už turto naudojimą, parduotas prekes, turtą, paslaugas </w:t>
      </w:r>
      <w:r>
        <w:rPr>
          <w:sz w:val="24"/>
          <w:szCs w:val="24"/>
        </w:rPr>
        <w:t>10529,19</w:t>
      </w:r>
      <w:r w:rsidRPr="009956C9">
        <w:rPr>
          <w:sz w:val="24"/>
          <w:szCs w:val="24"/>
        </w:rPr>
        <w:t xml:space="preserve"> </w:t>
      </w:r>
      <w:proofErr w:type="spellStart"/>
      <w:r w:rsidRPr="009956C9">
        <w:rPr>
          <w:sz w:val="24"/>
          <w:szCs w:val="24"/>
        </w:rPr>
        <w:t>Eur</w:t>
      </w:r>
      <w:proofErr w:type="spellEnd"/>
      <w:r w:rsidRPr="009956C9">
        <w:rPr>
          <w:sz w:val="24"/>
          <w:szCs w:val="24"/>
        </w:rPr>
        <w:t>:</w:t>
      </w:r>
    </w:p>
    <w:tbl>
      <w:tblPr>
        <w:tblOverlap w:val="never"/>
        <w:tblW w:w="9788" w:type="dxa"/>
        <w:jc w:val="center"/>
        <w:tblLayout w:type="fixed"/>
        <w:tblCellMar>
          <w:left w:w="10" w:type="dxa"/>
          <w:right w:w="10" w:type="dxa"/>
        </w:tblCellMar>
        <w:tblLook w:val="04A0" w:firstRow="1" w:lastRow="0" w:firstColumn="1" w:lastColumn="0" w:noHBand="0" w:noVBand="1"/>
      </w:tblPr>
      <w:tblGrid>
        <w:gridCol w:w="720"/>
        <w:gridCol w:w="5770"/>
        <w:gridCol w:w="3298"/>
      </w:tblGrid>
      <w:tr w:rsidR="001D69BA" w:rsidRPr="009A0ABB" w:rsidTr="005A6242">
        <w:trPr>
          <w:trHeight w:hRule="exact" w:val="566"/>
          <w:jc w:val="center"/>
        </w:trPr>
        <w:tc>
          <w:tcPr>
            <w:tcW w:w="72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180"/>
            </w:pPr>
            <w:proofErr w:type="spellStart"/>
            <w:r w:rsidRPr="009A0ABB">
              <w:t>Eil</w:t>
            </w:r>
            <w:proofErr w:type="spellEnd"/>
            <w:r w:rsidRPr="009A0ABB">
              <w:t>.</w:t>
            </w:r>
          </w:p>
          <w:p w:rsidR="001D69BA" w:rsidRPr="009A0ABB" w:rsidRDefault="001D69BA" w:rsidP="005A6242">
            <w:pPr>
              <w:pStyle w:val="Other0"/>
              <w:spacing w:before="25" w:after="25"/>
              <w:ind w:firstLine="180"/>
            </w:pPr>
            <w:proofErr w:type="spellStart"/>
            <w:r w:rsidRPr="009A0ABB">
              <w:t>Nr</w:t>
            </w:r>
            <w:proofErr w:type="spellEnd"/>
            <w:r w:rsidRPr="009A0ABB">
              <w:t>.</w:t>
            </w:r>
          </w:p>
        </w:tc>
        <w:tc>
          <w:tcPr>
            <w:tcW w:w="577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jc w:val="center"/>
            </w:pPr>
            <w:r w:rsidRPr="009A0ABB">
              <w:t>Gautino sumos</w:t>
            </w:r>
          </w:p>
        </w:tc>
        <w:tc>
          <w:tcPr>
            <w:tcW w:w="3298"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rsidRPr="009A0ABB">
              <w:t>Suma (</w:t>
            </w:r>
            <w:proofErr w:type="spellStart"/>
            <w:r w:rsidRPr="009A0ABB">
              <w:t>Eur</w:t>
            </w:r>
            <w:proofErr w:type="spellEnd"/>
            <w:r w:rsidRPr="009A0ABB">
              <w:t>)</w:t>
            </w:r>
          </w:p>
        </w:tc>
      </w:tr>
      <w:tr w:rsidR="001D69BA" w:rsidRPr="009A0ABB" w:rsidTr="005A6242">
        <w:trPr>
          <w:trHeight w:hRule="exact" w:val="288"/>
          <w:jc w:val="center"/>
        </w:trPr>
        <w:tc>
          <w:tcPr>
            <w:tcW w:w="72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1.</w:t>
            </w:r>
          </w:p>
        </w:tc>
        <w:tc>
          <w:tcPr>
            <w:tcW w:w="577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13"/>
            </w:pPr>
            <w:r w:rsidRPr="009A0ABB">
              <w:t>Gautinos sumos už turto naudojimą</w:t>
            </w:r>
          </w:p>
        </w:tc>
        <w:tc>
          <w:tcPr>
            <w:tcW w:w="3298"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0,00</w:t>
            </w:r>
          </w:p>
        </w:tc>
      </w:tr>
      <w:tr w:rsidR="001D69BA" w:rsidRPr="009A0ABB" w:rsidTr="005A6242">
        <w:trPr>
          <w:trHeight w:hRule="exact" w:val="283"/>
          <w:jc w:val="center"/>
        </w:trPr>
        <w:tc>
          <w:tcPr>
            <w:tcW w:w="72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2.</w:t>
            </w:r>
          </w:p>
        </w:tc>
        <w:tc>
          <w:tcPr>
            <w:tcW w:w="577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13"/>
            </w:pPr>
            <w:r w:rsidRPr="009A0ABB">
              <w:t>Gautinos sumos už suteiktas paslaugas</w:t>
            </w:r>
          </w:p>
        </w:tc>
        <w:tc>
          <w:tcPr>
            <w:tcW w:w="3298"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152,50</w:t>
            </w:r>
          </w:p>
        </w:tc>
      </w:tr>
      <w:tr w:rsidR="001D69BA" w:rsidRPr="009A0ABB" w:rsidTr="005A6242">
        <w:trPr>
          <w:trHeight w:hRule="exact" w:val="718"/>
          <w:jc w:val="center"/>
        </w:trPr>
        <w:tc>
          <w:tcPr>
            <w:tcW w:w="720"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3.</w:t>
            </w:r>
          </w:p>
        </w:tc>
        <w:tc>
          <w:tcPr>
            <w:tcW w:w="5770"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left="113"/>
            </w:pPr>
            <w:r w:rsidRPr="009A0ABB">
              <w:t>Gautinos sumos už paslaugas švietimo, socialinės apsaugos ir kitose įstaigose</w:t>
            </w:r>
          </w:p>
        </w:tc>
        <w:tc>
          <w:tcPr>
            <w:tcW w:w="3298"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10376,69</w:t>
            </w:r>
          </w:p>
        </w:tc>
      </w:tr>
    </w:tbl>
    <w:p w:rsidR="001D69BA" w:rsidRPr="009956C9" w:rsidRDefault="001D69BA" w:rsidP="001D69BA">
      <w:pPr>
        <w:pStyle w:val="Tablecaption0"/>
        <w:spacing w:before="120" w:after="120" w:line="300" w:lineRule="auto"/>
        <w:ind w:left="346"/>
        <w:rPr>
          <w:sz w:val="24"/>
          <w:szCs w:val="24"/>
        </w:rPr>
      </w:pPr>
      <w:r w:rsidRPr="009956C9">
        <w:rPr>
          <w:sz w:val="24"/>
          <w:szCs w:val="24"/>
        </w:rPr>
        <w:t xml:space="preserve">• Sukauptos gautinos sumos </w:t>
      </w:r>
      <w:r>
        <w:rPr>
          <w:sz w:val="24"/>
          <w:szCs w:val="24"/>
        </w:rPr>
        <w:t>72012,77</w:t>
      </w:r>
      <w:r w:rsidRPr="009956C9">
        <w:rPr>
          <w:sz w:val="24"/>
          <w:szCs w:val="24"/>
        </w:rPr>
        <w:t xml:space="preserve">  </w:t>
      </w:r>
      <w:proofErr w:type="spellStart"/>
      <w:r w:rsidRPr="009956C9">
        <w:rPr>
          <w:sz w:val="24"/>
          <w:szCs w:val="24"/>
        </w:rPr>
        <w:t>Eur</w:t>
      </w:r>
      <w:proofErr w:type="spellEnd"/>
      <w:r w:rsidRPr="009956C9">
        <w:rPr>
          <w:sz w:val="24"/>
          <w:szCs w:val="24"/>
        </w:rPr>
        <w:t>:</w:t>
      </w:r>
    </w:p>
    <w:tbl>
      <w:tblPr>
        <w:tblOverlap w:val="never"/>
        <w:tblW w:w="9787" w:type="dxa"/>
        <w:jc w:val="center"/>
        <w:tblLayout w:type="fixed"/>
        <w:tblCellMar>
          <w:left w:w="10" w:type="dxa"/>
          <w:right w:w="10" w:type="dxa"/>
        </w:tblCellMar>
        <w:tblLook w:val="04A0" w:firstRow="1" w:lastRow="0" w:firstColumn="1" w:lastColumn="0" w:noHBand="0" w:noVBand="1"/>
      </w:tblPr>
      <w:tblGrid>
        <w:gridCol w:w="720"/>
        <w:gridCol w:w="5784"/>
        <w:gridCol w:w="3283"/>
      </w:tblGrid>
      <w:tr w:rsidR="001D69BA" w:rsidRPr="009A0ABB" w:rsidTr="005A6242">
        <w:trPr>
          <w:trHeight w:hRule="exact" w:val="648"/>
          <w:jc w:val="center"/>
        </w:trPr>
        <w:tc>
          <w:tcPr>
            <w:tcW w:w="72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180"/>
            </w:pPr>
            <w:proofErr w:type="spellStart"/>
            <w:r w:rsidRPr="009A0ABB">
              <w:t>Eil</w:t>
            </w:r>
            <w:proofErr w:type="spellEnd"/>
            <w:r w:rsidRPr="009A0ABB">
              <w:t>.</w:t>
            </w:r>
          </w:p>
          <w:p w:rsidR="001D69BA" w:rsidRPr="009A0ABB" w:rsidRDefault="001D69BA" w:rsidP="005A6242">
            <w:pPr>
              <w:pStyle w:val="Other0"/>
              <w:spacing w:before="25" w:after="25"/>
              <w:ind w:firstLine="180"/>
            </w:pPr>
            <w:proofErr w:type="spellStart"/>
            <w:r w:rsidRPr="009A0ABB">
              <w:t>Nr</w:t>
            </w:r>
            <w:proofErr w:type="spellEnd"/>
            <w:r w:rsidRPr="009A0ABB">
              <w:t>.</w:t>
            </w:r>
          </w:p>
        </w:tc>
        <w:tc>
          <w:tcPr>
            <w:tcW w:w="5784"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060"/>
            </w:pPr>
            <w:r w:rsidRPr="009A0ABB">
              <w:t>Sukauptos gautinos sumos iš biudžeto</w:t>
            </w:r>
          </w:p>
        </w:tc>
        <w:tc>
          <w:tcPr>
            <w:tcW w:w="3283"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rsidRPr="009A0ABB">
              <w:t>Suma (</w:t>
            </w:r>
            <w:proofErr w:type="spellStart"/>
            <w:r w:rsidRPr="009A0ABB">
              <w:t>Eur</w:t>
            </w:r>
            <w:proofErr w:type="spellEnd"/>
            <w:r w:rsidRPr="009A0ABB">
              <w:t>)</w:t>
            </w:r>
          </w:p>
        </w:tc>
      </w:tr>
      <w:tr w:rsidR="001D69BA" w:rsidRPr="009A0ABB" w:rsidTr="005A6242">
        <w:trPr>
          <w:trHeight w:hRule="exact" w:val="331"/>
          <w:jc w:val="center"/>
        </w:trPr>
        <w:tc>
          <w:tcPr>
            <w:tcW w:w="72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1</w:t>
            </w:r>
          </w:p>
        </w:tc>
        <w:tc>
          <w:tcPr>
            <w:tcW w:w="5784"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13"/>
            </w:pPr>
            <w:r w:rsidRPr="009A0ABB">
              <w:t>Atostogų kaupiniams</w:t>
            </w:r>
          </w:p>
        </w:tc>
        <w:tc>
          <w:tcPr>
            <w:tcW w:w="3283"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62114,21</w:t>
            </w:r>
          </w:p>
        </w:tc>
      </w:tr>
      <w:tr w:rsidR="001D69BA" w:rsidRPr="009A0ABB" w:rsidTr="005A6242">
        <w:trPr>
          <w:trHeight w:hRule="exact" w:val="322"/>
          <w:jc w:val="center"/>
        </w:trPr>
        <w:tc>
          <w:tcPr>
            <w:tcW w:w="72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2.</w:t>
            </w:r>
          </w:p>
        </w:tc>
        <w:tc>
          <w:tcPr>
            <w:tcW w:w="5784"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13"/>
            </w:pPr>
            <w:r w:rsidRPr="009A0ABB">
              <w:t>Valstybinio socialinio draudimo fondui</w:t>
            </w:r>
          </w:p>
        </w:tc>
        <w:tc>
          <w:tcPr>
            <w:tcW w:w="3283"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977,84</w:t>
            </w:r>
          </w:p>
        </w:tc>
      </w:tr>
      <w:tr w:rsidR="001D69BA" w:rsidRPr="009A0ABB" w:rsidTr="005A6242">
        <w:trPr>
          <w:trHeight w:hRule="exact" w:val="326"/>
          <w:jc w:val="center"/>
        </w:trPr>
        <w:tc>
          <w:tcPr>
            <w:tcW w:w="72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3.</w:t>
            </w:r>
          </w:p>
        </w:tc>
        <w:tc>
          <w:tcPr>
            <w:tcW w:w="5784"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13"/>
            </w:pPr>
            <w:r w:rsidRPr="009A0ABB">
              <w:t>Valstybinei mokesčių inspekcijai</w:t>
            </w:r>
          </w:p>
        </w:tc>
        <w:tc>
          <w:tcPr>
            <w:tcW w:w="3283"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0,00</w:t>
            </w:r>
          </w:p>
        </w:tc>
      </w:tr>
      <w:tr w:rsidR="001D69BA" w:rsidRPr="009A0ABB" w:rsidTr="005A6242">
        <w:trPr>
          <w:trHeight w:hRule="exact" w:val="331"/>
          <w:jc w:val="center"/>
        </w:trPr>
        <w:tc>
          <w:tcPr>
            <w:tcW w:w="72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4.</w:t>
            </w:r>
          </w:p>
        </w:tc>
        <w:tc>
          <w:tcPr>
            <w:tcW w:w="5784"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13"/>
            </w:pPr>
            <w:r w:rsidRPr="009A0ABB">
              <w:t>Darbuotojams</w:t>
            </w:r>
          </w:p>
        </w:tc>
        <w:tc>
          <w:tcPr>
            <w:tcW w:w="3283"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0,00</w:t>
            </w:r>
          </w:p>
        </w:tc>
      </w:tr>
      <w:tr w:rsidR="001D69BA" w:rsidRPr="009A0ABB" w:rsidTr="005A6242">
        <w:trPr>
          <w:trHeight w:hRule="exact" w:val="326"/>
          <w:jc w:val="center"/>
        </w:trPr>
        <w:tc>
          <w:tcPr>
            <w:tcW w:w="72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60"/>
            </w:pPr>
            <w:r w:rsidRPr="009A0ABB">
              <w:lastRenderedPageBreak/>
              <w:t>5.</w:t>
            </w:r>
          </w:p>
        </w:tc>
        <w:tc>
          <w:tcPr>
            <w:tcW w:w="5784"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13"/>
            </w:pPr>
            <w:r w:rsidRPr="009A0ABB">
              <w:t>Tiekėjams</w:t>
            </w:r>
          </w:p>
        </w:tc>
        <w:tc>
          <w:tcPr>
            <w:tcW w:w="3283"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5,62</w:t>
            </w:r>
          </w:p>
        </w:tc>
      </w:tr>
      <w:tr w:rsidR="001D69BA" w:rsidRPr="009A0ABB" w:rsidTr="005A6242">
        <w:trPr>
          <w:trHeight w:hRule="exact" w:val="648"/>
          <w:jc w:val="center"/>
        </w:trPr>
        <w:tc>
          <w:tcPr>
            <w:tcW w:w="720"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6.</w:t>
            </w:r>
          </w:p>
        </w:tc>
        <w:tc>
          <w:tcPr>
            <w:tcW w:w="5784"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left="113"/>
            </w:pPr>
            <w:r w:rsidRPr="009A0ABB">
              <w:t>Sukauptos negrąžintos įstaigos pajamų lėšos iš savivaldybės biudžeto</w:t>
            </w:r>
          </w:p>
        </w:tc>
        <w:tc>
          <w:tcPr>
            <w:tcW w:w="3283"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8915,10</w:t>
            </w:r>
          </w:p>
        </w:tc>
      </w:tr>
    </w:tbl>
    <w:p w:rsidR="001D69BA" w:rsidRPr="009956C9" w:rsidRDefault="001D69BA" w:rsidP="001D69BA">
      <w:pPr>
        <w:pStyle w:val="Tablecaption0"/>
        <w:spacing w:before="120" w:after="120" w:line="300" w:lineRule="auto"/>
        <w:ind w:left="346"/>
        <w:rPr>
          <w:sz w:val="24"/>
          <w:szCs w:val="24"/>
        </w:rPr>
      </w:pPr>
      <w:r w:rsidRPr="009956C9">
        <w:rPr>
          <w:sz w:val="24"/>
          <w:szCs w:val="24"/>
        </w:rPr>
        <w:t xml:space="preserve">• Kitos gautinos sumos sudaro </w:t>
      </w:r>
      <w:r>
        <w:rPr>
          <w:sz w:val="24"/>
          <w:szCs w:val="24"/>
        </w:rPr>
        <w:t>105,87</w:t>
      </w:r>
      <w:r w:rsidRPr="009956C9">
        <w:rPr>
          <w:sz w:val="24"/>
          <w:szCs w:val="24"/>
        </w:rPr>
        <w:t xml:space="preserve"> </w:t>
      </w:r>
      <w:proofErr w:type="spellStart"/>
      <w:r w:rsidRPr="009956C9">
        <w:rPr>
          <w:sz w:val="24"/>
          <w:szCs w:val="24"/>
        </w:rPr>
        <w:t>Eur</w:t>
      </w:r>
      <w:proofErr w:type="spellEnd"/>
      <w:r w:rsidRPr="009956C9">
        <w:rPr>
          <w:sz w:val="24"/>
          <w:szCs w:val="24"/>
        </w:rPr>
        <w:t>:</w:t>
      </w:r>
    </w:p>
    <w:p w:rsidR="001D69BA" w:rsidRPr="00224749" w:rsidRDefault="001D69BA" w:rsidP="001D69BA">
      <w:pPr>
        <w:pStyle w:val="Pagrindinistekstas"/>
        <w:numPr>
          <w:ilvl w:val="0"/>
          <w:numId w:val="2"/>
        </w:numPr>
        <w:tabs>
          <w:tab w:val="left" w:pos="358"/>
        </w:tabs>
        <w:spacing w:before="120" w:after="120" w:line="300" w:lineRule="auto"/>
        <w:jc w:val="both"/>
        <w:rPr>
          <w:b/>
          <w:sz w:val="24"/>
          <w:szCs w:val="24"/>
        </w:rPr>
      </w:pPr>
      <w:r w:rsidRPr="00224749">
        <w:rPr>
          <w:b/>
          <w:sz w:val="24"/>
          <w:szCs w:val="24"/>
        </w:rPr>
        <w:t xml:space="preserve">Pastaba </w:t>
      </w:r>
      <w:proofErr w:type="spellStart"/>
      <w:r w:rsidRPr="00224749">
        <w:rPr>
          <w:b/>
          <w:sz w:val="24"/>
          <w:szCs w:val="24"/>
        </w:rPr>
        <w:t>Nr</w:t>
      </w:r>
      <w:proofErr w:type="spellEnd"/>
      <w:r w:rsidRPr="00224749">
        <w:rPr>
          <w:b/>
          <w:sz w:val="24"/>
          <w:szCs w:val="24"/>
        </w:rPr>
        <w:t xml:space="preserve">. </w:t>
      </w:r>
      <w:r w:rsidRPr="009A0ABB">
        <w:rPr>
          <w:b/>
          <w:sz w:val="24"/>
          <w:szCs w:val="24"/>
        </w:rPr>
        <w:t>P11. Pinigai ir pinigų ekvivalentai.</w:t>
      </w:r>
    </w:p>
    <w:p w:rsidR="001D69BA" w:rsidRPr="009956C9" w:rsidRDefault="001D69BA" w:rsidP="001D69BA">
      <w:pPr>
        <w:pStyle w:val="Pagrindinistekstas"/>
        <w:spacing w:before="25" w:after="25" w:line="300" w:lineRule="auto"/>
        <w:ind w:firstLine="567"/>
        <w:jc w:val="both"/>
        <w:rPr>
          <w:sz w:val="24"/>
          <w:szCs w:val="24"/>
        </w:rPr>
      </w:pPr>
      <w:r w:rsidRPr="009956C9">
        <w:rPr>
          <w:sz w:val="24"/>
          <w:szCs w:val="24"/>
        </w:rPr>
        <w:t xml:space="preserve">Piniginių lėšų likutį </w:t>
      </w:r>
      <w:r>
        <w:rPr>
          <w:sz w:val="24"/>
          <w:szCs w:val="24"/>
        </w:rPr>
        <w:t>2311,87</w:t>
      </w:r>
      <w:r w:rsidRPr="009956C9">
        <w:rPr>
          <w:sz w:val="24"/>
          <w:szCs w:val="24"/>
        </w:rPr>
        <w:t xml:space="preserve"> </w:t>
      </w:r>
      <w:proofErr w:type="spellStart"/>
      <w:r w:rsidRPr="009956C9">
        <w:rPr>
          <w:sz w:val="24"/>
          <w:szCs w:val="24"/>
        </w:rPr>
        <w:t>Eur</w:t>
      </w:r>
      <w:proofErr w:type="spellEnd"/>
      <w:r w:rsidRPr="009956C9">
        <w:rPr>
          <w:sz w:val="24"/>
          <w:szCs w:val="24"/>
        </w:rPr>
        <w:t xml:space="preserve"> ataskaitinio laikotarpio pabaigai sudaro pinigai banko sąskaitose.</w:t>
      </w:r>
    </w:p>
    <w:p w:rsidR="001D69BA" w:rsidRPr="009A0ABB" w:rsidRDefault="001D69BA" w:rsidP="001D69BA">
      <w:pPr>
        <w:pStyle w:val="Pagrindinistekstas"/>
        <w:numPr>
          <w:ilvl w:val="0"/>
          <w:numId w:val="3"/>
        </w:numPr>
        <w:tabs>
          <w:tab w:val="left" w:pos="358"/>
        </w:tabs>
        <w:spacing w:before="120" w:after="120" w:line="300" w:lineRule="auto"/>
        <w:jc w:val="both"/>
        <w:rPr>
          <w:b/>
          <w:sz w:val="24"/>
          <w:szCs w:val="24"/>
        </w:rPr>
      </w:pPr>
      <w:bookmarkStart w:id="32" w:name="bookmark11"/>
      <w:bookmarkEnd w:id="32"/>
      <w:r w:rsidRPr="009A0ABB">
        <w:rPr>
          <w:b/>
          <w:sz w:val="24"/>
          <w:szCs w:val="24"/>
        </w:rPr>
        <w:t xml:space="preserve">Pastaba </w:t>
      </w:r>
      <w:proofErr w:type="spellStart"/>
      <w:r w:rsidRPr="009A0ABB">
        <w:rPr>
          <w:b/>
          <w:sz w:val="24"/>
          <w:szCs w:val="24"/>
        </w:rPr>
        <w:t>Nr</w:t>
      </w:r>
      <w:proofErr w:type="spellEnd"/>
      <w:r w:rsidRPr="009A0ABB">
        <w:rPr>
          <w:b/>
          <w:sz w:val="24"/>
          <w:szCs w:val="24"/>
        </w:rPr>
        <w:t>. P12. Finansavimo sumos.</w:t>
      </w:r>
    </w:p>
    <w:p w:rsidR="001D69BA" w:rsidRPr="009956C9" w:rsidRDefault="001D69BA" w:rsidP="001D69BA">
      <w:pPr>
        <w:pStyle w:val="Pagrindinistekstas"/>
        <w:spacing w:before="25" w:after="25" w:line="300" w:lineRule="auto"/>
        <w:ind w:firstLine="567"/>
        <w:jc w:val="both"/>
        <w:rPr>
          <w:sz w:val="24"/>
          <w:szCs w:val="24"/>
        </w:rPr>
      </w:pPr>
      <w:r w:rsidRPr="009956C9">
        <w:rPr>
          <w:sz w:val="24"/>
          <w:szCs w:val="24"/>
        </w:rPr>
        <w:t xml:space="preserve">Ataskaitinio laikotarpio pabaigai finansavimo sumų likutis yra </w:t>
      </w:r>
      <w:r>
        <w:rPr>
          <w:sz w:val="24"/>
          <w:szCs w:val="24"/>
        </w:rPr>
        <w:t>333472,13</w:t>
      </w:r>
      <w:r w:rsidRPr="009956C9">
        <w:rPr>
          <w:sz w:val="24"/>
          <w:szCs w:val="24"/>
        </w:rPr>
        <w:t xml:space="preserve"> </w:t>
      </w:r>
      <w:proofErr w:type="spellStart"/>
      <w:r w:rsidRPr="009956C9">
        <w:rPr>
          <w:sz w:val="24"/>
          <w:szCs w:val="24"/>
        </w:rPr>
        <w:t>Eur</w:t>
      </w:r>
      <w:proofErr w:type="spellEnd"/>
      <w:r w:rsidRPr="009956C9">
        <w:rPr>
          <w:sz w:val="24"/>
          <w:szCs w:val="24"/>
        </w:rPr>
        <w:t xml:space="preserve"> Finansavimo sum</w:t>
      </w:r>
      <w:r>
        <w:rPr>
          <w:sz w:val="24"/>
          <w:szCs w:val="24"/>
        </w:rPr>
        <w:t>os</w:t>
      </w:r>
      <w:r w:rsidRPr="009956C9">
        <w:rPr>
          <w:sz w:val="24"/>
          <w:szCs w:val="24"/>
        </w:rPr>
        <w:t xml:space="preserve"> pagal šaltinius pateiktas lentelėje:</w:t>
      </w:r>
    </w:p>
    <w:tbl>
      <w:tblPr>
        <w:tblOverlap w:val="never"/>
        <w:tblW w:w="9787" w:type="dxa"/>
        <w:jc w:val="center"/>
        <w:tblLayout w:type="fixed"/>
        <w:tblCellMar>
          <w:left w:w="10" w:type="dxa"/>
          <w:right w:w="10" w:type="dxa"/>
        </w:tblCellMar>
        <w:tblLook w:val="04A0" w:firstRow="1" w:lastRow="0" w:firstColumn="1" w:lastColumn="0" w:noHBand="0" w:noVBand="1"/>
      </w:tblPr>
      <w:tblGrid>
        <w:gridCol w:w="1104"/>
        <w:gridCol w:w="5405"/>
        <w:gridCol w:w="3278"/>
      </w:tblGrid>
      <w:tr w:rsidR="001D69BA" w:rsidRPr="009A0ABB" w:rsidTr="005A6242">
        <w:trPr>
          <w:trHeight w:hRule="exact" w:val="566"/>
          <w:jc w:val="center"/>
        </w:trPr>
        <w:tc>
          <w:tcPr>
            <w:tcW w:w="1104"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jc w:val="center"/>
            </w:pPr>
            <w:proofErr w:type="spellStart"/>
            <w:r w:rsidRPr="009A0ABB">
              <w:t>Eil</w:t>
            </w:r>
            <w:proofErr w:type="spellEnd"/>
            <w:r w:rsidRPr="009A0ABB">
              <w:t>.</w:t>
            </w:r>
          </w:p>
          <w:p w:rsidR="001D69BA" w:rsidRPr="009A0ABB" w:rsidRDefault="001D69BA" w:rsidP="005A6242">
            <w:pPr>
              <w:pStyle w:val="Other0"/>
              <w:spacing w:before="25" w:after="25"/>
              <w:jc w:val="center"/>
            </w:pPr>
            <w:proofErr w:type="spellStart"/>
            <w:r w:rsidRPr="009A0ABB">
              <w:t>Nr</w:t>
            </w:r>
            <w:proofErr w:type="spellEnd"/>
            <w:r w:rsidRPr="009A0ABB">
              <w:t>.</w:t>
            </w:r>
          </w:p>
        </w:tc>
        <w:tc>
          <w:tcPr>
            <w:tcW w:w="5405"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jc w:val="center"/>
            </w:pPr>
            <w:r w:rsidRPr="009A0ABB">
              <w:t>Šaltinis</w:t>
            </w:r>
          </w:p>
        </w:tc>
        <w:tc>
          <w:tcPr>
            <w:tcW w:w="3278"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rsidRPr="009A0ABB">
              <w:t>Likutis (</w:t>
            </w:r>
            <w:proofErr w:type="spellStart"/>
            <w:r w:rsidRPr="009A0ABB">
              <w:t>Eur</w:t>
            </w:r>
            <w:proofErr w:type="spellEnd"/>
            <w:r w:rsidRPr="009A0ABB">
              <w:t>)</w:t>
            </w:r>
          </w:p>
        </w:tc>
      </w:tr>
      <w:tr w:rsidR="001D69BA" w:rsidRPr="009A0ABB" w:rsidTr="005A6242">
        <w:trPr>
          <w:trHeight w:hRule="exact" w:val="283"/>
          <w:jc w:val="center"/>
        </w:trPr>
        <w:tc>
          <w:tcPr>
            <w:tcW w:w="1104"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jc w:val="center"/>
            </w:pPr>
            <w:r w:rsidRPr="009A0ABB">
              <w:t>1.</w:t>
            </w:r>
          </w:p>
        </w:tc>
        <w:tc>
          <w:tcPr>
            <w:tcW w:w="5405"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58"/>
            </w:pPr>
            <w:r w:rsidRPr="009A0ABB">
              <w:t>Iš valstybės biudžeto</w:t>
            </w:r>
          </w:p>
        </w:tc>
        <w:tc>
          <w:tcPr>
            <w:tcW w:w="3278"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spacing w:before="25" w:after="25"/>
              <w:jc w:val="center"/>
              <w:rPr>
                <w:rFonts w:ascii="Times New Roman" w:hAnsi="Times New Roman" w:cs="Times New Roman"/>
                <w:sz w:val="22"/>
                <w:szCs w:val="22"/>
              </w:rPr>
            </w:pPr>
            <w:r>
              <w:rPr>
                <w:rFonts w:ascii="Times New Roman" w:hAnsi="Times New Roman" w:cs="Times New Roman"/>
                <w:sz w:val="22"/>
                <w:szCs w:val="22"/>
              </w:rPr>
              <w:t>1958,34</w:t>
            </w:r>
          </w:p>
        </w:tc>
      </w:tr>
      <w:tr w:rsidR="001D69BA" w:rsidRPr="009A0ABB" w:rsidTr="005A6242">
        <w:trPr>
          <w:trHeight w:hRule="exact" w:val="298"/>
          <w:jc w:val="center"/>
        </w:trPr>
        <w:tc>
          <w:tcPr>
            <w:tcW w:w="1104"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jc w:val="center"/>
            </w:pPr>
            <w:r w:rsidRPr="009A0ABB">
              <w:t>2.</w:t>
            </w:r>
          </w:p>
        </w:tc>
        <w:tc>
          <w:tcPr>
            <w:tcW w:w="5405"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left="158"/>
            </w:pPr>
            <w:r w:rsidRPr="009A0ABB">
              <w:t>Iš savivaldybės biudžeto</w:t>
            </w:r>
          </w:p>
        </w:tc>
        <w:tc>
          <w:tcPr>
            <w:tcW w:w="3278"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325896,67</w:t>
            </w:r>
          </w:p>
        </w:tc>
      </w:tr>
    </w:tbl>
    <w:p w:rsidR="001D69BA" w:rsidRPr="009956C9" w:rsidRDefault="001D69BA" w:rsidP="001D69BA">
      <w:pPr>
        <w:pStyle w:val="Pagrindinistekstas"/>
        <w:spacing w:before="120" w:after="25" w:line="300" w:lineRule="auto"/>
        <w:ind w:firstLine="567"/>
        <w:jc w:val="both"/>
        <w:rPr>
          <w:sz w:val="24"/>
          <w:szCs w:val="24"/>
        </w:rPr>
      </w:pPr>
      <w:r w:rsidRPr="009956C9">
        <w:rPr>
          <w:sz w:val="24"/>
          <w:szCs w:val="24"/>
        </w:rPr>
        <w:t>Per ataskaitinį laikotarpį neatlygintinai gauto turto nebuvo.</w:t>
      </w:r>
    </w:p>
    <w:p w:rsidR="001D69BA" w:rsidRPr="009A0ABB" w:rsidRDefault="001D69BA" w:rsidP="001D69BA">
      <w:pPr>
        <w:pStyle w:val="Pagrindinistekstas"/>
        <w:numPr>
          <w:ilvl w:val="0"/>
          <w:numId w:val="3"/>
        </w:numPr>
        <w:tabs>
          <w:tab w:val="left" w:pos="358"/>
        </w:tabs>
        <w:spacing w:before="120" w:after="120" w:line="300" w:lineRule="auto"/>
        <w:jc w:val="both"/>
        <w:rPr>
          <w:b/>
          <w:sz w:val="24"/>
          <w:szCs w:val="24"/>
        </w:rPr>
      </w:pPr>
      <w:bookmarkStart w:id="33" w:name="bookmark12"/>
      <w:bookmarkEnd w:id="33"/>
      <w:r w:rsidRPr="009A0ABB">
        <w:rPr>
          <w:b/>
          <w:sz w:val="24"/>
          <w:szCs w:val="24"/>
        </w:rPr>
        <w:t xml:space="preserve">Pastaba </w:t>
      </w:r>
      <w:proofErr w:type="spellStart"/>
      <w:r w:rsidRPr="009A0ABB">
        <w:rPr>
          <w:b/>
          <w:sz w:val="24"/>
          <w:szCs w:val="24"/>
        </w:rPr>
        <w:t>Nr</w:t>
      </w:r>
      <w:proofErr w:type="spellEnd"/>
      <w:r w:rsidRPr="009A0ABB">
        <w:rPr>
          <w:b/>
          <w:sz w:val="24"/>
          <w:szCs w:val="24"/>
        </w:rPr>
        <w:t xml:space="preserve">. P15. </w:t>
      </w:r>
      <w:proofErr w:type="spellStart"/>
      <w:r w:rsidRPr="009A0ABB">
        <w:rPr>
          <w:b/>
          <w:sz w:val="24"/>
          <w:szCs w:val="24"/>
        </w:rPr>
        <w:t>Atidėjiniai</w:t>
      </w:r>
      <w:proofErr w:type="spellEnd"/>
      <w:r w:rsidRPr="009A0ABB">
        <w:rPr>
          <w:b/>
          <w:sz w:val="24"/>
          <w:szCs w:val="24"/>
        </w:rPr>
        <w:t>.</w:t>
      </w:r>
    </w:p>
    <w:p w:rsidR="001D69BA" w:rsidRDefault="001D69BA" w:rsidP="001D69BA">
      <w:pPr>
        <w:pStyle w:val="Pagrindinistekstas"/>
        <w:tabs>
          <w:tab w:val="left" w:pos="358"/>
        </w:tabs>
        <w:spacing w:after="0"/>
        <w:jc w:val="both"/>
        <w:rPr>
          <w:sz w:val="24"/>
          <w:szCs w:val="24"/>
        </w:rPr>
      </w:pPr>
      <w:bookmarkStart w:id="34" w:name="bookmark13"/>
      <w:bookmarkEnd w:id="34"/>
      <w:r w:rsidRPr="00C86844">
        <w:rPr>
          <w:sz w:val="24"/>
          <w:szCs w:val="24"/>
        </w:rPr>
        <w:t>Darbuotojų pasiekusių vadovaujantis Darbo kodekso 56 straipsnio 1 dalies punktu senatvės pensiją ir įgijusių teisę į visą senatvės pensiją priskaičiuota išeitinės išmokos (</w:t>
      </w:r>
      <w:proofErr w:type="spellStart"/>
      <w:r w:rsidRPr="00C86844">
        <w:rPr>
          <w:sz w:val="24"/>
          <w:szCs w:val="24"/>
        </w:rPr>
        <w:t>atidėjinys</w:t>
      </w:r>
      <w:proofErr w:type="spellEnd"/>
      <w:r w:rsidRPr="00C86844">
        <w:rPr>
          <w:sz w:val="24"/>
          <w:szCs w:val="24"/>
        </w:rPr>
        <w:t xml:space="preserve">) </w:t>
      </w:r>
      <w:r>
        <w:rPr>
          <w:sz w:val="24"/>
          <w:szCs w:val="24"/>
        </w:rPr>
        <w:t>6385,08</w:t>
      </w:r>
      <w:r w:rsidRPr="00C86844">
        <w:rPr>
          <w:sz w:val="24"/>
          <w:szCs w:val="24"/>
        </w:rPr>
        <w:t xml:space="preserve">Eur. </w:t>
      </w:r>
      <w:proofErr w:type="spellStart"/>
      <w:r w:rsidRPr="00C86844">
        <w:rPr>
          <w:sz w:val="24"/>
          <w:szCs w:val="24"/>
        </w:rPr>
        <w:t>Atidėjinys</w:t>
      </w:r>
      <w:proofErr w:type="spellEnd"/>
      <w:r w:rsidRPr="00C86844">
        <w:rPr>
          <w:sz w:val="24"/>
          <w:szCs w:val="24"/>
        </w:rPr>
        <w:t xml:space="preserve"> nediskontuojamas, nes tikėtina kad dauguma darbuotojų dirbs ne ilgiau kaip 5 metus, su kiekvienu darbuotoju darbo santykių nutraukimo laikas skirsis (t. y. su vienu darbuotoju darbo santykiai gali būti nutraukiami po metų, su kitu - po dvejų metų ir </w:t>
      </w:r>
      <w:proofErr w:type="spellStart"/>
      <w:r w:rsidRPr="00C86844">
        <w:rPr>
          <w:sz w:val="24"/>
          <w:szCs w:val="24"/>
        </w:rPr>
        <w:t>pan</w:t>
      </w:r>
      <w:proofErr w:type="spellEnd"/>
      <w:r w:rsidRPr="00C86844">
        <w:rPr>
          <w:sz w:val="24"/>
          <w:szCs w:val="24"/>
        </w:rPr>
        <w:t>.), ir diskontavimo įtaka būtų nereikšminga</w:t>
      </w:r>
    </w:p>
    <w:p w:rsidR="001D69BA" w:rsidRPr="009A0ABB" w:rsidRDefault="001D69BA" w:rsidP="001D69BA">
      <w:pPr>
        <w:pStyle w:val="Pagrindinistekstas"/>
        <w:numPr>
          <w:ilvl w:val="0"/>
          <w:numId w:val="3"/>
        </w:numPr>
        <w:tabs>
          <w:tab w:val="left" w:pos="478"/>
        </w:tabs>
        <w:spacing w:before="120" w:after="120" w:line="300" w:lineRule="auto"/>
        <w:rPr>
          <w:b/>
          <w:sz w:val="24"/>
          <w:szCs w:val="24"/>
        </w:rPr>
      </w:pPr>
      <w:r w:rsidRPr="009A0ABB">
        <w:rPr>
          <w:b/>
          <w:sz w:val="24"/>
          <w:szCs w:val="24"/>
        </w:rPr>
        <w:t xml:space="preserve">Pastaba </w:t>
      </w:r>
      <w:proofErr w:type="spellStart"/>
      <w:r w:rsidRPr="009A0ABB">
        <w:rPr>
          <w:b/>
          <w:sz w:val="24"/>
          <w:szCs w:val="24"/>
        </w:rPr>
        <w:t>Nr</w:t>
      </w:r>
      <w:proofErr w:type="spellEnd"/>
      <w:r w:rsidRPr="009A0ABB">
        <w:rPr>
          <w:b/>
          <w:sz w:val="24"/>
          <w:szCs w:val="24"/>
        </w:rPr>
        <w:t>. P17. Trumpalaikiai įsipareigojimai</w:t>
      </w:r>
      <w:r>
        <w:rPr>
          <w:b/>
          <w:sz w:val="24"/>
          <w:szCs w:val="24"/>
        </w:rPr>
        <w:t>.</w:t>
      </w:r>
    </w:p>
    <w:p w:rsidR="001D69BA" w:rsidRPr="009A0ABB" w:rsidRDefault="001D69BA" w:rsidP="001D69BA">
      <w:pPr>
        <w:pStyle w:val="Pagrindinistekstas"/>
        <w:spacing w:before="25" w:after="120" w:line="300" w:lineRule="auto"/>
        <w:ind w:firstLine="380"/>
        <w:rPr>
          <w:sz w:val="24"/>
          <w:szCs w:val="24"/>
        </w:rPr>
      </w:pPr>
      <w:r w:rsidRPr="009A0ABB">
        <w:rPr>
          <w:sz w:val="24"/>
          <w:szCs w:val="24"/>
        </w:rPr>
        <w:t xml:space="preserve">• Įsiskolinimą tiekėjams ataskaitinio laikotarpio pabaigoje sudaro </w:t>
      </w:r>
      <w:r>
        <w:rPr>
          <w:sz w:val="24"/>
          <w:szCs w:val="24"/>
        </w:rPr>
        <w:t>5,62</w:t>
      </w:r>
      <w:r w:rsidRPr="009A0ABB">
        <w:rPr>
          <w:sz w:val="24"/>
          <w:szCs w:val="24"/>
        </w:rPr>
        <w:t xml:space="preserve"> </w:t>
      </w:r>
      <w:proofErr w:type="spellStart"/>
      <w:r w:rsidRPr="009A0ABB">
        <w:rPr>
          <w:sz w:val="24"/>
          <w:szCs w:val="24"/>
        </w:rPr>
        <w:t>Eur</w:t>
      </w:r>
      <w:proofErr w:type="spellEnd"/>
      <w:r w:rsidRPr="009A0ABB">
        <w:rPr>
          <w:sz w:val="24"/>
          <w:szCs w:val="24"/>
        </w:rPr>
        <w:t>:</w:t>
      </w:r>
    </w:p>
    <w:tbl>
      <w:tblPr>
        <w:tblOverlap w:val="neve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5"/>
        <w:gridCol w:w="5943"/>
        <w:gridCol w:w="3129"/>
      </w:tblGrid>
      <w:tr w:rsidR="001D69BA" w:rsidRPr="009A0ABB" w:rsidTr="005A6242">
        <w:trPr>
          <w:trHeight w:hRule="exact" w:val="685"/>
          <w:jc w:val="center"/>
        </w:trPr>
        <w:tc>
          <w:tcPr>
            <w:tcW w:w="715" w:type="dxa"/>
            <w:shd w:val="clear" w:color="auto" w:fill="FFFFFF"/>
            <w:vAlign w:val="center"/>
          </w:tcPr>
          <w:p w:rsidR="001D69BA" w:rsidRPr="009A0ABB" w:rsidRDefault="001D69BA" w:rsidP="005A6242">
            <w:pPr>
              <w:pStyle w:val="Other0"/>
              <w:spacing w:before="25" w:after="25"/>
              <w:jc w:val="center"/>
            </w:pPr>
            <w:proofErr w:type="spellStart"/>
            <w:r w:rsidRPr="009A0ABB">
              <w:t>Eil</w:t>
            </w:r>
            <w:proofErr w:type="spellEnd"/>
            <w:r w:rsidRPr="009A0ABB">
              <w:t>.</w:t>
            </w:r>
          </w:p>
          <w:p w:rsidR="001D69BA" w:rsidRPr="009A0ABB" w:rsidRDefault="001D69BA" w:rsidP="005A6242">
            <w:pPr>
              <w:pStyle w:val="Other0"/>
              <w:spacing w:before="25" w:after="25"/>
              <w:jc w:val="center"/>
            </w:pPr>
            <w:proofErr w:type="spellStart"/>
            <w:r w:rsidRPr="009A0ABB">
              <w:t>Nr</w:t>
            </w:r>
            <w:proofErr w:type="spellEnd"/>
            <w:r w:rsidRPr="009A0ABB">
              <w:t>.</w:t>
            </w:r>
          </w:p>
        </w:tc>
        <w:tc>
          <w:tcPr>
            <w:tcW w:w="5943" w:type="dxa"/>
            <w:shd w:val="clear" w:color="auto" w:fill="FFFFFF"/>
            <w:vAlign w:val="center"/>
          </w:tcPr>
          <w:p w:rsidR="001D69BA" w:rsidRPr="009A0ABB" w:rsidRDefault="001D69BA" w:rsidP="005A6242">
            <w:pPr>
              <w:pStyle w:val="Other0"/>
              <w:spacing w:before="25" w:after="25"/>
              <w:jc w:val="center"/>
            </w:pPr>
            <w:r w:rsidRPr="009A0ABB">
              <w:t>Tiekėjai</w:t>
            </w:r>
          </w:p>
        </w:tc>
        <w:tc>
          <w:tcPr>
            <w:tcW w:w="3129" w:type="dxa"/>
            <w:shd w:val="clear" w:color="auto" w:fill="FFFFFF"/>
            <w:vAlign w:val="center"/>
          </w:tcPr>
          <w:p w:rsidR="001D69BA" w:rsidRPr="009A0ABB" w:rsidRDefault="001D69BA" w:rsidP="005A6242">
            <w:pPr>
              <w:pStyle w:val="Other0"/>
              <w:spacing w:before="25" w:after="25"/>
              <w:jc w:val="center"/>
            </w:pPr>
            <w:r w:rsidRPr="009A0ABB">
              <w:t>Suma (</w:t>
            </w:r>
            <w:proofErr w:type="spellStart"/>
            <w:r w:rsidRPr="009A0ABB">
              <w:t>Eur</w:t>
            </w:r>
            <w:proofErr w:type="spellEnd"/>
            <w:r w:rsidRPr="009A0ABB">
              <w:t>)</w:t>
            </w:r>
          </w:p>
        </w:tc>
      </w:tr>
      <w:tr w:rsidR="001D69BA" w:rsidRPr="009A0ABB" w:rsidTr="005A6242">
        <w:trPr>
          <w:trHeight w:hRule="exact" w:val="326"/>
          <w:jc w:val="center"/>
        </w:trPr>
        <w:tc>
          <w:tcPr>
            <w:tcW w:w="715" w:type="dxa"/>
            <w:shd w:val="clear" w:color="auto" w:fill="FFFFFF"/>
            <w:vAlign w:val="center"/>
          </w:tcPr>
          <w:p w:rsidR="001D69BA" w:rsidRPr="009A0ABB" w:rsidRDefault="001D69BA" w:rsidP="005A6242">
            <w:pPr>
              <w:pStyle w:val="Other0"/>
              <w:spacing w:before="25" w:after="25"/>
              <w:ind w:firstLine="260"/>
            </w:pPr>
            <w:r w:rsidRPr="009A0ABB">
              <w:t>1.</w:t>
            </w:r>
          </w:p>
        </w:tc>
        <w:tc>
          <w:tcPr>
            <w:tcW w:w="5943" w:type="dxa"/>
            <w:shd w:val="clear" w:color="auto" w:fill="FFFFFF"/>
            <w:vAlign w:val="center"/>
          </w:tcPr>
          <w:p w:rsidR="001D69BA" w:rsidRPr="009A0ABB" w:rsidRDefault="001D69BA" w:rsidP="005A6242">
            <w:pPr>
              <w:pStyle w:val="Other0"/>
              <w:spacing w:before="25" w:after="25"/>
              <w:ind w:left="125"/>
            </w:pPr>
            <w:r w:rsidRPr="009A0ABB">
              <w:t xml:space="preserve">UAB </w:t>
            </w:r>
            <w:proofErr w:type="spellStart"/>
            <w:r w:rsidRPr="009A0ABB">
              <w:t>Ignitis</w:t>
            </w:r>
            <w:proofErr w:type="spellEnd"/>
          </w:p>
        </w:tc>
        <w:tc>
          <w:tcPr>
            <w:tcW w:w="3129" w:type="dxa"/>
            <w:shd w:val="clear" w:color="auto" w:fill="FFFFFF"/>
            <w:vAlign w:val="center"/>
          </w:tcPr>
          <w:p w:rsidR="001D69BA" w:rsidRPr="009A0ABB" w:rsidRDefault="001D69BA" w:rsidP="005A6242">
            <w:pPr>
              <w:pStyle w:val="Other0"/>
              <w:spacing w:before="25" w:after="25"/>
              <w:jc w:val="center"/>
            </w:pPr>
            <w:r>
              <w:t>4,27</w:t>
            </w:r>
          </w:p>
        </w:tc>
      </w:tr>
      <w:tr w:rsidR="001D69BA" w:rsidRPr="009A0ABB" w:rsidTr="005A6242">
        <w:trPr>
          <w:trHeight w:hRule="exact" w:val="331"/>
          <w:jc w:val="center"/>
        </w:trPr>
        <w:tc>
          <w:tcPr>
            <w:tcW w:w="715" w:type="dxa"/>
            <w:shd w:val="clear" w:color="auto" w:fill="FFFFFF"/>
            <w:vAlign w:val="center"/>
          </w:tcPr>
          <w:p w:rsidR="001D69BA" w:rsidRPr="009A0ABB" w:rsidRDefault="001D69BA" w:rsidP="005A6242">
            <w:pPr>
              <w:pStyle w:val="Other0"/>
              <w:spacing w:before="25" w:after="25"/>
              <w:ind w:firstLine="260"/>
            </w:pPr>
            <w:r w:rsidRPr="009A0ABB">
              <w:t>2.</w:t>
            </w:r>
          </w:p>
        </w:tc>
        <w:tc>
          <w:tcPr>
            <w:tcW w:w="5943" w:type="dxa"/>
            <w:shd w:val="clear" w:color="auto" w:fill="FFFFFF"/>
            <w:vAlign w:val="center"/>
          </w:tcPr>
          <w:p w:rsidR="001D69BA" w:rsidRPr="009A0ABB" w:rsidRDefault="001D69BA" w:rsidP="005A6242">
            <w:pPr>
              <w:pStyle w:val="Other0"/>
              <w:spacing w:before="25" w:after="25"/>
              <w:ind w:left="125"/>
            </w:pPr>
            <w:r w:rsidRPr="009A0ABB">
              <w:t>AB Energijos skirstymo operatorius</w:t>
            </w:r>
          </w:p>
        </w:tc>
        <w:tc>
          <w:tcPr>
            <w:tcW w:w="3129" w:type="dxa"/>
            <w:shd w:val="clear" w:color="auto" w:fill="FFFFFF"/>
            <w:vAlign w:val="center"/>
          </w:tcPr>
          <w:p w:rsidR="001D69BA" w:rsidRPr="009A0ABB" w:rsidRDefault="001D69BA" w:rsidP="005A6242">
            <w:pPr>
              <w:pStyle w:val="Other0"/>
              <w:spacing w:before="25" w:after="25"/>
              <w:jc w:val="center"/>
            </w:pPr>
            <w:r>
              <w:t>1,35</w:t>
            </w:r>
          </w:p>
        </w:tc>
      </w:tr>
    </w:tbl>
    <w:p w:rsidR="001D69BA" w:rsidRPr="009956C9" w:rsidRDefault="001D69BA" w:rsidP="001D69BA">
      <w:pPr>
        <w:pStyle w:val="Tablecaption0"/>
        <w:spacing w:before="120" w:after="120" w:line="300" w:lineRule="auto"/>
        <w:ind w:firstLine="425"/>
        <w:jc w:val="both"/>
        <w:rPr>
          <w:sz w:val="24"/>
          <w:szCs w:val="24"/>
        </w:rPr>
      </w:pPr>
      <w:r w:rsidRPr="009956C9">
        <w:rPr>
          <w:sz w:val="24"/>
          <w:szCs w:val="24"/>
        </w:rPr>
        <w:t xml:space="preserve">• Su darbo santykiais susiję įsipareigojimai. Su darbo santykiais susijusieji įsipareigojimai sudaro </w:t>
      </w:r>
      <w:r>
        <w:rPr>
          <w:sz w:val="24"/>
          <w:szCs w:val="24"/>
        </w:rPr>
        <w:t>74,43</w:t>
      </w:r>
      <w:r w:rsidRPr="009956C9">
        <w:rPr>
          <w:sz w:val="24"/>
          <w:szCs w:val="24"/>
        </w:rPr>
        <w:t xml:space="preserve"> </w:t>
      </w:r>
      <w:proofErr w:type="spellStart"/>
      <w:r w:rsidRPr="009956C9">
        <w:rPr>
          <w:sz w:val="24"/>
          <w:szCs w:val="24"/>
        </w:rPr>
        <w:t>Eur</w:t>
      </w:r>
      <w:proofErr w:type="spellEnd"/>
      <w:r w:rsidRPr="009956C9">
        <w:rPr>
          <w:sz w:val="24"/>
          <w:szCs w:val="24"/>
        </w:rPr>
        <w:t>:</w:t>
      </w:r>
    </w:p>
    <w:tbl>
      <w:tblPr>
        <w:tblOverlap w:val="never"/>
        <w:tblW w:w="9788" w:type="dxa"/>
        <w:jc w:val="center"/>
        <w:tblLayout w:type="fixed"/>
        <w:tblCellMar>
          <w:left w:w="10" w:type="dxa"/>
          <w:right w:w="10" w:type="dxa"/>
        </w:tblCellMar>
        <w:tblLook w:val="04A0" w:firstRow="1" w:lastRow="0" w:firstColumn="1" w:lastColumn="0" w:noHBand="0" w:noVBand="1"/>
      </w:tblPr>
      <w:tblGrid>
        <w:gridCol w:w="720"/>
        <w:gridCol w:w="5770"/>
        <w:gridCol w:w="3298"/>
      </w:tblGrid>
      <w:tr w:rsidR="001D69BA" w:rsidRPr="009A0ABB" w:rsidTr="005A6242">
        <w:trPr>
          <w:trHeight w:hRule="exact" w:val="566"/>
          <w:jc w:val="center"/>
        </w:trPr>
        <w:tc>
          <w:tcPr>
            <w:tcW w:w="72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jc w:val="center"/>
            </w:pPr>
            <w:proofErr w:type="spellStart"/>
            <w:r w:rsidRPr="009A0ABB">
              <w:t>Eil</w:t>
            </w:r>
            <w:proofErr w:type="spellEnd"/>
            <w:r w:rsidRPr="009A0ABB">
              <w:t>.</w:t>
            </w:r>
          </w:p>
          <w:p w:rsidR="001D69BA" w:rsidRPr="009A0ABB" w:rsidRDefault="001D69BA" w:rsidP="005A6242">
            <w:pPr>
              <w:pStyle w:val="Other0"/>
              <w:spacing w:before="25" w:after="25"/>
              <w:jc w:val="center"/>
            </w:pPr>
            <w:proofErr w:type="spellStart"/>
            <w:r w:rsidRPr="009A0ABB">
              <w:t>Nr</w:t>
            </w:r>
            <w:proofErr w:type="spellEnd"/>
            <w:r w:rsidRPr="009A0ABB">
              <w:t>.</w:t>
            </w:r>
          </w:p>
        </w:tc>
        <w:tc>
          <w:tcPr>
            <w:tcW w:w="577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880"/>
            </w:pPr>
            <w:r w:rsidRPr="009A0ABB">
              <w:t>Su darbo santykiais susiję įsipareigojimai</w:t>
            </w:r>
          </w:p>
        </w:tc>
        <w:tc>
          <w:tcPr>
            <w:tcW w:w="3298"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rsidRPr="009A0ABB">
              <w:t>Suma (</w:t>
            </w:r>
            <w:proofErr w:type="spellStart"/>
            <w:r w:rsidRPr="009A0ABB">
              <w:t>Eur</w:t>
            </w:r>
            <w:proofErr w:type="spellEnd"/>
            <w:r w:rsidRPr="009A0ABB">
              <w:t>)</w:t>
            </w:r>
          </w:p>
        </w:tc>
      </w:tr>
      <w:tr w:rsidR="001D69BA" w:rsidRPr="009A0ABB" w:rsidTr="005A6242">
        <w:trPr>
          <w:trHeight w:hRule="exact" w:val="283"/>
          <w:jc w:val="center"/>
        </w:trPr>
        <w:tc>
          <w:tcPr>
            <w:tcW w:w="72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1.</w:t>
            </w:r>
          </w:p>
        </w:tc>
        <w:tc>
          <w:tcPr>
            <w:tcW w:w="577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13"/>
            </w:pPr>
            <w:r w:rsidRPr="009A0ABB">
              <w:t>Mokėtinas darbo užmokestis</w:t>
            </w:r>
          </w:p>
        </w:tc>
        <w:tc>
          <w:tcPr>
            <w:tcW w:w="3298"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w:t>
            </w:r>
          </w:p>
        </w:tc>
      </w:tr>
      <w:tr w:rsidR="001D69BA" w:rsidRPr="009A0ABB" w:rsidTr="005A6242">
        <w:trPr>
          <w:trHeight w:hRule="exact" w:val="331"/>
          <w:jc w:val="center"/>
        </w:trPr>
        <w:tc>
          <w:tcPr>
            <w:tcW w:w="72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2.</w:t>
            </w:r>
          </w:p>
        </w:tc>
        <w:tc>
          <w:tcPr>
            <w:tcW w:w="577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13"/>
            </w:pPr>
            <w:r w:rsidRPr="009A0ABB">
              <w:t>Mokėtinos socialinio draudimo įmokos</w:t>
            </w:r>
          </w:p>
        </w:tc>
        <w:tc>
          <w:tcPr>
            <w:tcW w:w="3298"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w:t>
            </w:r>
          </w:p>
        </w:tc>
      </w:tr>
      <w:tr w:rsidR="001D69BA" w:rsidRPr="009A0ABB" w:rsidTr="005A6242">
        <w:trPr>
          <w:trHeight w:hRule="exact" w:val="326"/>
          <w:jc w:val="center"/>
        </w:trPr>
        <w:tc>
          <w:tcPr>
            <w:tcW w:w="72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3.</w:t>
            </w:r>
          </w:p>
        </w:tc>
        <w:tc>
          <w:tcPr>
            <w:tcW w:w="577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13"/>
            </w:pPr>
            <w:r w:rsidRPr="009A0ABB">
              <w:t>Mokėtinas gyventojų pajamų mokestis</w:t>
            </w:r>
          </w:p>
        </w:tc>
        <w:tc>
          <w:tcPr>
            <w:tcW w:w="3298"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w:t>
            </w:r>
          </w:p>
        </w:tc>
      </w:tr>
      <w:tr w:rsidR="001D69BA" w:rsidRPr="009A0ABB" w:rsidTr="005A6242">
        <w:trPr>
          <w:trHeight w:hRule="exact" w:val="283"/>
          <w:jc w:val="center"/>
        </w:trPr>
        <w:tc>
          <w:tcPr>
            <w:tcW w:w="72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4.</w:t>
            </w:r>
          </w:p>
        </w:tc>
        <w:tc>
          <w:tcPr>
            <w:tcW w:w="577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13"/>
            </w:pPr>
            <w:r w:rsidRPr="009A0ABB">
              <w:t>Mokėtinos darbdavio socialinio draudimo įmokos</w:t>
            </w:r>
          </w:p>
        </w:tc>
        <w:tc>
          <w:tcPr>
            <w:tcW w:w="3298"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74,43</w:t>
            </w:r>
          </w:p>
        </w:tc>
      </w:tr>
      <w:tr w:rsidR="001D69BA" w:rsidRPr="009A0ABB" w:rsidTr="005A6242">
        <w:trPr>
          <w:trHeight w:hRule="exact" w:val="298"/>
          <w:jc w:val="center"/>
        </w:trPr>
        <w:tc>
          <w:tcPr>
            <w:tcW w:w="720"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5.</w:t>
            </w:r>
          </w:p>
        </w:tc>
        <w:tc>
          <w:tcPr>
            <w:tcW w:w="5770"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left="113"/>
            </w:pPr>
            <w:r w:rsidRPr="009A0ABB">
              <w:t>Kitos su darbo santykiais susijusios sumos</w:t>
            </w:r>
          </w:p>
        </w:tc>
        <w:tc>
          <w:tcPr>
            <w:tcW w:w="3298"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w:t>
            </w:r>
          </w:p>
        </w:tc>
      </w:tr>
    </w:tbl>
    <w:p w:rsidR="001D69BA" w:rsidRDefault="001D69BA" w:rsidP="001D69BA">
      <w:pPr>
        <w:rPr>
          <w:rFonts w:ascii="Times New Roman" w:eastAsia="Times New Roman" w:hAnsi="Times New Roman" w:cs="Times New Roman"/>
        </w:rPr>
      </w:pPr>
    </w:p>
    <w:p w:rsidR="001D69BA" w:rsidRPr="009956C9" w:rsidRDefault="001D69BA" w:rsidP="001D69BA">
      <w:pPr>
        <w:pStyle w:val="Tablecaption0"/>
        <w:spacing w:before="120" w:after="120" w:line="300" w:lineRule="auto"/>
        <w:ind w:left="340"/>
        <w:rPr>
          <w:sz w:val="24"/>
          <w:szCs w:val="24"/>
        </w:rPr>
      </w:pPr>
      <w:r w:rsidRPr="009956C9">
        <w:rPr>
          <w:sz w:val="24"/>
          <w:szCs w:val="24"/>
        </w:rPr>
        <w:t xml:space="preserve">• Sukauptos mokėtinos sumos </w:t>
      </w:r>
      <w:r>
        <w:rPr>
          <w:color w:val="000000" w:themeColor="text1"/>
          <w:sz w:val="24"/>
          <w:szCs w:val="24"/>
        </w:rPr>
        <w:t>64357,00</w:t>
      </w:r>
      <w:r w:rsidRPr="007652BB">
        <w:rPr>
          <w:color w:val="000000" w:themeColor="text1"/>
          <w:sz w:val="24"/>
          <w:szCs w:val="24"/>
        </w:rPr>
        <w:t xml:space="preserve"> </w:t>
      </w:r>
      <w:proofErr w:type="spellStart"/>
      <w:r w:rsidRPr="009956C9">
        <w:rPr>
          <w:sz w:val="24"/>
          <w:szCs w:val="24"/>
        </w:rPr>
        <w:t>Eur</w:t>
      </w:r>
      <w:proofErr w:type="spellEnd"/>
      <w:r w:rsidRPr="009956C9">
        <w:rPr>
          <w:sz w:val="24"/>
          <w:szCs w:val="24"/>
        </w:rPr>
        <w:t>:</w:t>
      </w:r>
    </w:p>
    <w:tbl>
      <w:tblPr>
        <w:tblOverlap w:val="never"/>
        <w:tblW w:w="9792" w:type="dxa"/>
        <w:jc w:val="center"/>
        <w:tblLayout w:type="fixed"/>
        <w:tblCellMar>
          <w:left w:w="10" w:type="dxa"/>
          <w:right w:w="10" w:type="dxa"/>
        </w:tblCellMar>
        <w:tblLook w:val="04A0" w:firstRow="1" w:lastRow="0" w:firstColumn="1" w:lastColumn="0" w:noHBand="0" w:noVBand="1"/>
      </w:tblPr>
      <w:tblGrid>
        <w:gridCol w:w="710"/>
        <w:gridCol w:w="5813"/>
        <w:gridCol w:w="3269"/>
      </w:tblGrid>
      <w:tr w:rsidR="001D69BA" w:rsidRPr="009A0ABB" w:rsidTr="005A6242">
        <w:trPr>
          <w:trHeight w:hRule="exact" w:val="566"/>
          <w:jc w:val="center"/>
        </w:trPr>
        <w:tc>
          <w:tcPr>
            <w:tcW w:w="71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180"/>
            </w:pPr>
            <w:proofErr w:type="spellStart"/>
            <w:r w:rsidRPr="009A0ABB">
              <w:t>Eil</w:t>
            </w:r>
            <w:proofErr w:type="spellEnd"/>
            <w:r w:rsidRPr="009A0ABB">
              <w:t>.</w:t>
            </w:r>
          </w:p>
          <w:p w:rsidR="001D69BA" w:rsidRPr="009A0ABB" w:rsidRDefault="001D69BA" w:rsidP="005A6242">
            <w:pPr>
              <w:pStyle w:val="Other0"/>
              <w:spacing w:before="25" w:after="25"/>
              <w:ind w:firstLine="180"/>
            </w:pPr>
            <w:proofErr w:type="spellStart"/>
            <w:r w:rsidRPr="009A0ABB">
              <w:t>Nr</w:t>
            </w:r>
            <w:proofErr w:type="spellEnd"/>
            <w:r w:rsidRPr="009A0ABB">
              <w:t>.</w:t>
            </w:r>
          </w:p>
        </w:tc>
        <w:tc>
          <w:tcPr>
            <w:tcW w:w="5813"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400"/>
            </w:pPr>
            <w:r w:rsidRPr="009A0ABB">
              <w:t>Sukauptos mokėtinos sumos</w:t>
            </w:r>
          </w:p>
        </w:tc>
        <w:tc>
          <w:tcPr>
            <w:tcW w:w="3269"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rsidRPr="009A0ABB">
              <w:t>Suma (</w:t>
            </w:r>
            <w:proofErr w:type="spellStart"/>
            <w:r w:rsidRPr="009A0ABB">
              <w:t>Eur</w:t>
            </w:r>
            <w:proofErr w:type="spellEnd"/>
            <w:r w:rsidRPr="009A0ABB">
              <w:t>)</w:t>
            </w:r>
          </w:p>
        </w:tc>
      </w:tr>
      <w:tr w:rsidR="001D69BA" w:rsidRPr="009A0ABB" w:rsidTr="005A6242">
        <w:trPr>
          <w:trHeight w:hRule="exact" w:val="326"/>
          <w:jc w:val="center"/>
        </w:trPr>
        <w:tc>
          <w:tcPr>
            <w:tcW w:w="71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1.</w:t>
            </w:r>
          </w:p>
        </w:tc>
        <w:tc>
          <w:tcPr>
            <w:tcW w:w="5813"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24"/>
            </w:pPr>
            <w:r w:rsidRPr="009A0ABB">
              <w:t>Sukauptos atostogų sąnaudos</w:t>
            </w:r>
          </w:p>
        </w:tc>
        <w:tc>
          <w:tcPr>
            <w:tcW w:w="3269"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63435,66</w:t>
            </w:r>
          </w:p>
        </w:tc>
      </w:tr>
      <w:tr w:rsidR="001D69BA" w:rsidRPr="009A0ABB" w:rsidTr="005A6242">
        <w:trPr>
          <w:trHeight w:hRule="exact" w:val="665"/>
          <w:jc w:val="center"/>
        </w:trPr>
        <w:tc>
          <w:tcPr>
            <w:tcW w:w="710"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2.</w:t>
            </w:r>
          </w:p>
        </w:tc>
        <w:tc>
          <w:tcPr>
            <w:tcW w:w="5813"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left="124"/>
            </w:pPr>
            <w:r w:rsidRPr="009A0ABB">
              <w:t>Sukauptos atostogų valstybinio socialinio draudimo įmokų sąnaudos</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921,34</w:t>
            </w:r>
          </w:p>
        </w:tc>
      </w:tr>
    </w:tbl>
    <w:p w:rsidR="001D69BA" w:rsidRDefault="001D69BA" w:rsidP="001D69BA">
      <w:pPr>
        <w:pStyle w:val="Tablecaption0"/>
        <w:spacing w:before="120" w:after="25" w:line="300" w:lineRule="auto"/>
        <w:ind w:left="425"/>
        <w:rPr>
          <w:sz w:val="24"/>
          <w:szCs w:val="24"/>
        </w:rPr>
      </w:pPr>
      <w:r w:rsidRPr="009956C9">
        <w:rPr>
          <w:sz w:val="24"/>
          <w:szCs w:val="24"/>
        </w:rPr>
        <w:t xml:space="preserve">• Kiti trumpalaikiai įsipareigojimai 0,00 </w:t>
      </w:r>
      <w:proofErr w:type="spellStart"/>
      <w:r w:rsidRPr="009956C9">
        <w:rPr>
          <w:sz w:val="24"/>
          <w:szCs w:val="24"/>
        </w:rPr>
        <w:t>Eur</w:t>
      </w:r>
      <w:proofErr w:type="spellEnd"/>
      <w:r w:rsidRPr="009956C9">
        <w:rPr>
          <w:sz w:val="24"/>
          <w:szCs w:val="24"/>
        </w:rPr>
        <w:t>.</w:t>
      </w:r>
    </w:p>
    <w:p w:rsidR="001D69BA" w:rsidRPr="009A0ABB" w:rsidRDefault="001D69BA" w:rsidP="001D69BA">
      <w:pPr>
        <w:pStyle w:val="Pagrindinistekstas"/>
        <w:numPr>
          <w:ilvl w:val="0"/>
          <w:numId w:val="3"/>
        </w:numPr>
        <w:tabs>
          <w:tab w:val="left" w:pos="478"/>
        </w:tabs>
        <w:spacing w:before="120" w:after="120" w:line="300" w:lineRule="auto"/>
        <w:rPr>
          <w:b/>
          <w:sz w:val="24"/>
          <w:szCs w:val="24"/>
        </w:rPr>
      </w:pPr>
      <w:r w:rsidRPr="009A0ABB">
        <w:rPr>
          <w:b/>
          <w:sz w:val="24"/>
          <w:szCs w:val="24"/>
        </w:rPr>
        <w:t xml:space="preserve">Pastaba </w:t>
      </w:r>
      <w:proofErr w:type="spellStart"/>
      <w:r w:rsidRPr="009A0ABB">
        <w:rPr>
          <w:b/>
          <w:sz w:val="24"/>
          <w:szCs w:val="24"/>
        </w:rPr>
        <w:t>Nr</w:t>
      </w:r>
      <w:proofErr w:type="spellEnd"/>
      <w:r w:rsidRPr="009A0ABB">
        <w:rPr>
          <w:b/>
          <w:sz w:val="24"/>
          <w:szCs w:val="24"/>
        </w:rPr>
        <w:t>. P18. Grynasis turtas.</w:t>
      </w:r>
    </w:p>
    <w:p w:rsidR="001D69BA" w:rsidRPr="009956C9" w:rsidRDefault="001D69BA" w:rsidP="001D69BA">
      <w:pPr>
        <w:pStyle w:val="Tablecaption0"/>
        <w:spacing w:before="25" w:after="25" w:line="300" w:lineRule="auto"/>
        <w:ind w:firstLine="567"/>
        <w:rPr>
          <w:sz w:val="24"/>
          <w:szCs w:val="24"/>
        </w:rPr>
      </w:pPr>
      <w:r w:rsidRPr="009956C9">
        <w:rPr>
          <w:sz w:val="24"/>
          <w:szCs w:val="24"/>
        </w:rPr>
        <w:t xml:space="preserve">Ataskaitinio laikotarpio pabaigai grynasis turtas sudaro </w:t>
      </w:r>
      <w:r>
        <w:rPr>
          <w:sz w:val="24"/>
          <w:szCs w:val="24"/>
        </w:rPr>
        <w:t xml:space="preserve">20787,27 </w:t>
      </w:r>
      <w:proofErr w:type="spellStart"/>
      <w:r w:rsidRPr="009956C9">
        <w:rPr>
          <w:sz w:val="24"/>
          <w:szCs w:val="24"/>
        </w:rPr>
        <w:t>Eur</w:t>
      </w:r>
      <w:proofErr w:type="spellEnd"/>
      <w:r w:rsidRPr="009956C9">
        <w:rPr>
          <w:sz w:val="24"/>
          <w:szCs w:val="24"/>
        </w:rPr>
        <w:t>.</w:t>
      </w:r>
    </w:p>
    <w:p w:rsidR="001D69BA" w:rsidRPr="009956C9" w:rsidRDefault="001D69BA" w:rsidP="001D69BA">
      <w:pPr>
        <w:spacing w:before="25" w:after="25" w:line="300" w:lineRule="auto"/>
        <w:rPr>
          <w:rFonts w:ascii="Times New Roman" w:hAnsi="Times New Roman" w:cs="Times New Roman"/>
        </w:rPr>
      </w:pPr>
    </w:p>
    <w:p w:rsidR="001D69BA" w:rsidRPr="009A0ABB" w:rsidRDefault="001D69BA" w:rsidP="001D69BA">
      <w:pPr>
        <w:pStyle w:val="Pagrindinistekstas"/>
        <w:spacing w:before="25" w:after="25" w:line="300" w:lineRule="auto"/>
        <w:jc w:val="center"/>
        <w:rPr>
          <w:b/>
          <w:sz w:val="24"/>
          <w:szCs w:val="24"/>
        </w:rPr>
      </w:pPr>
      <w:r w:rsidRPr="009A0ABB">
        <w:rPr>
          <w:b/>
          <w:sz w:val="24"/>
          <w:szCs w:val="24"/>
        </w:rPr>
        <w:t>Veiklos rezultatų ataskaita</w:t>
      </w:r>
    </w:p>
    <w:p w:rsidR="001D69BA" w:rsidRDefault="001D69BA" w:rsidP="001D69BA">
      <w:pPr>
        <w:pStyle w:val="Pagrindinistekstas"/>
        <w:spacing w:before="25" w:after="25" w:line="300" w:lineRule="auto"/>
        <w:ind w:left="4060"/>
        <w:rPr>
          <w:sz w:val="24"/>
          <w:szCs w:val="24"/>
        </w:rPr>
      </w:pPr>
    </w:p>
    <w:p w:rsidR="001D69BA" w:rsidRPr="009A0ABB" w:rsidRDefault="001D69BA" w:rsidP="001D69BA">
      <w:pPr>
        <w:pStyle w:val="Pagrindinistekstas"/>
        <w:numPr>
          <w:ilvl w:val="0"/>
          <w:numId w:val="3"/>
        </w:numPr>
        <w:tabs>
          <w:tab w:val="left" w:pos="478"/>
        </w:tabs>
        <w:spacing w:before="120" w:after="120" w:line="300" w:lineRule="auto"/>
        <w:rPr>
          <w:b/>
          <w:sz w:val="24"/>
          <w:szCs w:val="24"/>
        </w:rPr>
      </w:pPr>
      <w:r w:rsidRPr="009A0ABB">
        <w:rPr>
          <w:b/>
          <w:sz w:val="24"/>
          <w:szCs w:val="24"/>
        </w:rPr>
        <w:t xml:space="preserve">Pastaba </w:t>
      </w:r>
      <w:proofErr w:type="spellStart"/>
      <w:r w:rsidRPr="009A0ABB">
        <w:rPr>
          <w:b/>
          <w:sz w:val="24"/>
          <w:szCs w:val="24"/>
        </w:rPr>
        <w:t>Nr</w:t>
      </w:r>
      <w:proofErr w:type="spellEnd"/>
      <w:r w:rsidRPr="009A0ABB">
        <w:rPr>
          <w:b/>
          <w:sz w:val="24"/>
          <w:szCs w:val="24"/>
        </w:rPr>
        <w:t>. P02. Pagrindinės veiklos sąnaudos.</w:t>
      </w:r>
    </w:p>
    <w:p w:rsidR="001D69BA" w:rsidRPr="009956C9" w:rsidRDefault="001D69BA" w:rsidP="001D69BA">
      <w:pPr>
        <w:pStyle w:val="Pagrindinistekstas"/>
        <w:spacing w:before="120" w:after="120" w:line="300" w:lineRule="auto"/>
        <w:ind w:firstLine="380"/>
        <w:rPr>
          <w:sz w:val="24"/>
          <w:szCs w:val="24"/>
        </w:rPr>
      </w:pPr>
      <w:bookmarkStart w:id="35" w:name="bookmark14"/>
      <w:bookmarkEnd w:id="35"/>
      <w:r w:rsidRPr="009956C9">
        <w:rPr>
          <w:sz w:val="24"/>
          <w:szCs w:val="24"/>
        </w:rPr>
        <w:t xml:space="preserve">• Darbo užmokesčio ir socialinio draudimo sąnaudos </w:t>
      </w:r>
      <w:r>
        <w:rPr>
          <w:sz w:val="24"/>
          <w:szCs w:val="24"/>
        </w:rPr>
        <w:t>828751,55</w:t>
      </w:r>
      <w:r w:rsidRPr="009956C9">
        <w:rPr>
          <w:sz w:val="24"/>
          <w:szCs w:val="24"/>
        </w:rPr>
        <w:t xml:space="preserve"> </w:t>
      </w:r>
      <w:proofErr w:type="spellStart"/>
      <w:r w:rsidRPr="009956C9">
        <w:rPr>
          <w:sz w:val="24"/>
          <w:szCs w:val="24"/>
        </w:rPr>
        <w:t>Eur</w:t>
      </w:r>
      <w:proofErr w:type="spellEnd"/>
      <w:r w:rsidRPr="009956C9">
        <w:rPr>
          <w:sz w:val="24"/>
          <w:szCs w:val="24"/>
        </w:rPr>
        <w:t>:</w:t>
      </w:r>
    </w:p>
    <w:tbl>
      <w:tblPr>
        <w:tblOverlap w:val="never"/>
        <w:tblW w:w="9792" w:type="dxa"/>
        <w:jc w:val="center"/>
        <w:tblLayout w:type="fixed"/>
        <w:tblCellMar>
          <w:left w:w="10" w:type="dxa"/>
          <w:right w:w="10" w:type="dxa"/>
        </w:tblCellMar>
        <w:tblLook w:val="04A0" w:firstRow="1" w:lastRow="0" w:firstColumn="1" w:lastColumn="0" w:noHBand="0" w:noVBand="1"/>
      </w:tblPr>
      <w:tblGrid>
        <w:gridCol w:w="710"/>
        <w:gridCol w:w="5760"/>
        <w:gridCol w:w="3322"/>
      </w:tblGrid>
      <w:tr w:rsidR="001D69BA" w:rsidRPr="009A0ABB" w:rsidTr="005A6242">
        <w:trPr>
          <w:trHeight w:hRule="exact" w:val="566"/>
          <w:jc w:val="center"/>
        </w:trPr>
        <w:tc>
          <w:tcPr>
            <w:tcW w:w="71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180"/>
            </w:pPr>
            <w:proofErr w:type="spellStart"/>
            <w:r w:rsidRPr="009A0ABB">
              <w:t>Eil</w:t>
            </w:r>
            <w:proofErr w:type="spellEnd"/>
            <w:r w:rsidRPr="009A0ABB">
              <w:t>.</w:t>
            </w:r>
          </w:p>
          <w:p w:rsidR="001D69BA" w:rsidRPr="009A0ABB" w:rsidRDefault="001D69BA" w:rsidP="005A6242">
            <w:pPr>
              <w:pStyle w:val="Other0"/>
              <w:spacing w:before="25" w:after="25"/>
              <w:ind w:firstLine="180"/>
            </w:pPr>
            <w:proofErr w:type="spellStart"/>
            <w:r w:rsidRPr="009A0ABB">
              <w:t>Nr</w:t>
            </w:r>
            <w:proofErr w:type="spellEnd"/>
            <w:r w:rsidRPr="009A0ABB">
              <w:t>.</w:t>
            </w:r>
          </w:p>
        </w:tc>
        <w:tc>
          <w:tcPr>
            <w:tcW w:w="576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400"/>
            </w:pPr>
            <w:r w:rsidRPr="009A0ABB">
              <w:t>Sąnaudos</w:t>
            </w:r>
          </w:p>
        </w:tc>
        <w:tc>
          <w:tcPr>
            <w:tcW w:w="3322"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rsidRPr="009A0ABB">
              <w:t>Suma (</w:t>
            </w:r>
            <w:proofErr w:type="spellStart"/>
            <w:r w:rsidRPr="009A0ABB">
              <w:t>Eur</w:t>
            </w:r>
            <w:proofErr w:type="spellEnd"/>
            <w:r w:rsidRPr="009A0ABB">
              <w:t>)</w:t>
            </w:r>
          </w:p>
        </w:tc>
      </w:tr>
      <w:tr w:rsidR="001D69BA" w:rsidRPr="009A0ABB" w:rsidTr="005A6242">
        <w:trPr>
          <w:trHeight w:hRule="exact" w:val="288"/>
          <w:jc w:val="center"/>
        </w:trPr>
        <w:tc>
          <w:tcPr>
            <w:tcW w:w="71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1.</w:t>
            </w:r>
          </w:p>
        </w:tc>
        <w:tc>
          <w:tcPr>
            <w:tcW w:w="576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24"/>
            </w:pPr>
            <w:r w:rsidRPr="009A0ABB">
              <w:t>Darbo užmokesčio</w:t>
            </w:r>
          </w:p>
        </w:tc>
        <w:tc>
          <w:tcPr>
            <w:tcW w:w="3322"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816499,98</w:t>
            </w:r>
          </w:p>
        </w:tc>
      </w:tr>
      <w:tr w:rsidR="001D69BA" w:rsidRPr="009A0ABB" w:rsidTr="005A6242">
        <w:trPr>
          <w:trHeight w:hRule="exact" w:val="298"/>
          <w:jc w:val="center"/>
        </w:trPr>
        <w:tc>
          <w:tcPr>
            <w:tcW w:w="710"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2.</w:t>
            </w:r>
          </w:p>
        </w:tc>
        <w:tc>
          <w:tcPr>
            <w:tcW w:w="5760"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left="124"/>
            </w:pPr>
            <w:r w:rsidRPr="009A0ABB">
              <w:t>Darbdavio socialinio draudimo</w:t>
            </w:r>
          </w:p>
        </w:tc>
        <w:tc>
          <w:tcPr>
            <w:tcW w:w="3322"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12251,57</w:t>
            </w:r>
          </w:p>
        </w:tc>
      </w:tr>
    </w:tbl>
    <w:p w:rsidR="001D69BA" w:rsidRPr="009956C9" w:rsidRDefault="001D69BA" w:rsidP="001D69BA">
      <w:pPr>
        <w:pStyle w:val="Tablecaption0"/>
        <w:spacing w:before="120" w:after="120" w:line="300" w:lineRule="auto"/>
        <w:ind w:left="346"/>
        <w:rPr>
          <w:sz w:val="24"/>
          <w:szCs w:val="24"/>
        </w:rPr>
      </w:pPr>
      <w:r w:rsidRPr="009956C9">
        <w:rPr>
          <w:sz w:val="24"/>
          <w:szCs w:val="24"/>
        </w:rPr>
        <w:t xml:space="preserve">• Ilgalaikio turto nusidėvėjimo sąnaudos </w:t>
      </w:r>
      <w:r>
        <w:rPr>
          <w:sz w:val="24"/>
          <w:szCs w:val="24"/>
        </w:rPr>
        <w:t>14300,12</w:t>
      </w:r>
      <w:r w:rsidRPr="009956C9">
        <w:rPr>
          <w:sz w:val="24"/>
          <w:szCs w:val="24"/>
        </w:rPr>
        <w:t xml:space="preserve"> </w:t>
      </w:r>
      <w:proofErr w:type="spellStart"/>
      <w:r w:rsidRPr="009956C9">
        <w:rPr>
          <w:sz w:val="24"/>
          <w:szCs w:val="24"/>
        </w:rPr>
        <w:t>Eur</w:t>
      </w:r>
      <w:proofErr w:type="spellEnd"/>
      <w:r w:rsidRPr="009956C9">
        <w:rPr>
          <w:sz w:val="24"/>
          <w:szCs w:val="24"/>
        </w:rPr>
        <w:t>:</w:t>
      </w:r>
    </w:p>
    <w:tbl>
      <w:tblPr>
        <w:tblOverlap w:val="neve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0"/>
        <w:gridCol w:w="6173"/>
        <w:gridCol w:w="2909"/>
      </w:tblGrid>
      <w:tr w:rsidR="001D69BA" w:rsidRPr="009956C9" w:rsidTr="005A6242">
        <w:trPr>
          <w:trHeight w:hRule="exact" w:val="566"/>
          <w:jc w:val="center"/>
        </w:trPr>
        <w:tc>
          <w:tcPr>
            <w:tcW w:w="710" w:type="dxa"/>
            <w:shd w:val="clear" w:color="auto" w:fill="FFFFFF"/>
            <w:vAlign w:val="center"/>
          </w:tcPr>
          <w:p w:rsidR="001D69BA" w:rsidRPr="009956C9" w:rsidRDefault="001D69BA" w:rsidP="005A6242">
            <w:pPr>
              <w:pStyle w:val="Other0"/>
              <w:spacing w:before="25" w:after="25" w:line="300" w:lineRule="auto"/>
              <w:ind w:firstLine="180"/>
              <w:rPr>
                <w:sz w:val="24"/>
                <w:szCs w:val="24"/>
              </w:rPr>
            </w:pPr>
            <w:proofErr w:type="spellStart"/>
            <w:r w:rsidRPr="009956C9">
              <w:rPr>
                <w:sz w:val="24"/>
                <w:szCs w:val="24"/>
              </w:rPr>
              <w:t>Eil</w:t>
            </w:r>
            <w:proofErr w:type="spellEnd"/>
            <w:r w:rsidRPr="009956C9">
              <w:rPr>
                <w:sz w:val="24"/>
                <w:szCs w:val="24"/>
              </w:rPr>
              <w:t>.</w:t>
            </w:r>
          </w:p>
          <w:p w:rsidR="001D69BA" w:rsidRPr="009956C9" w:rsidRDefault="001D69BA" w:rsidP="005A6242">
            <w:pPr>
              <w:pStyle w:val="Other0"/>
              <w:spacing w:before="25" w:after="25" w:line="300" w:lineRule="auto"/>
              <w:ind w:firstLine="180"/>
              <w:rPr>
                <w:sz w:val="24"/>
                <w:szCs w:val="24"/>
              </w:rPr>
            </w:pPr>
            <w:proofErr w:type="spellStart"/>
            <w:r w:rsidRPr="009956C9">
              <w:rPr>
                <w:sz w:val="24"/>
                <w:szCs w:val="24"/>
              </w:rPr>
              <w:t>Nr</w:t>
            </w:r>
            <w:proofErr w:type="spellEnd"/>
            <w:r w:rsidRPr="009956C9">
              <w:rPr>
                <w:sz w:val="24"/>
                <w:szCs w:val="24"/>
              </w:rPr>
              <w:t>.</w:t>
            </w:r>
          </w:p>
        </w:tc>
        <w:tc>
          <w:tcPr>
            <w:tcW w:w="6173" w:type="dxa"/>
            <w:shd w:val="clear" w:color="auto" w:fill="FFFFFF"/>
            <w:vAlign w:val="center"/>
          </w:tcPr>
          <w:p w:rsidR="001D69BA" w:rsidRPr="009956C9" w:rsidRDefault="001D69BA" w:rsidP="005A6242">
            <w:pPr>
              <w:pStyle w:val="Other0"/>
              <w:spacing w:before="25" w:after="25" w:line="300" w:lineRule="auto"/>
              <w:jc w:val="center"/>
              <w:rPr>
                <w:sz w:val="24"/>
                <w:szCs w:val="24"/>
              </w:rPr>
            </w:pPr>
            <w:r w:rsidRPr="009956C9">
              <w:rPr>
                <w:sz w:val="24"/>
                <w:szCs w:val="24"/>
              </w:rPr>
              <w:t>Turto grupių sąnaudos</w:t>
            </w:r>
          </w:p>
        </w:tc>
        <w:tc>
          <w:tcPr>
            <w:tcW w:w="2909" w:type="dxa"/>
            <w:shd w:val="clear" w:color="auto" w:fill="FFFFFF"/>
            <w:vAlign w:val="center"/>
          </w:tcPr>
          <w:p w:rsidR="001D69BA" w:rsidRPr="009956C9" w:rsidRDefault="001D69BA" w:rsidP="005A6242">
            <w:pPr>
              <w:pStyle w:val="Other0"/>
              <w:spacing w:before="25" w:after="25" w:line="300" w:lineRule="auto"/>
              <w:jc w:val="center"/>
              <w:rPr>
                <w:sz w:val="24"/>
                <w:szCs w:val="24"/>
              </w:rPr>
            </w:pPr>
            <w:r w:rsidRPr="009956C9">
              <w:rPr>
                <w:sz w:val="24"/>
                <w:szCs w:val="24"/>
              </w:rPr>
              <w:t>Suma (</w:t>
            </w:r>
            <w:proofErr w:type="spellStart"/>
            <w:r w:rsidRPr="009956C9">
              <w:rPr>
                <w:sz w:val="24"/>
                <w:szCs w:val="24"/>
              </w:rPr>
              <w:t>Eur</w:t>
            </w:r>
            <w:proofErr w:type="spellEnd"/>
            <w:r w:rsidRPr="009956C9">
              <w:rPr>
                <w:sz w:val="24"/>
                <w:szCs w:val="24"/>
              </w:rPr>
              <w:t>)</w:t>
            </w:r>
          </w:p>
        </w:tc>
      </w:tr>
      <w:tr w:rsidR="001D69BA" w:rsidRPr="009956C9" w:rsidTr="005A6242">
        <w:trPr>
          <w:trHeight w:hRule="exact" w:val="283"/>
          <w:jc w:val="center"/>
        </w:trPr>
        <w:tc>
          <w:tcPr>
            <w:tcW w:w="710" w:type="dxa"/>
            <w:shd w:val="clear" w:color="auto" w:fill="FFFFFF"/>
            <w:vAlign w:val="center"/>
          </w:tcPr>
          <w:p w:rsidR="001D69BA" w:rsidRPr="009956C9" w:rsidRDefault="001D69BA" w:rsidP="005A6242">
            <w:pPr>
              <w:pStyle w:val="Other0"/>
              <w:spacing w:before="25" w:after="25" w:line="300" w:lineRule="auto"/>
              <w:ind w:firstLine="260"/>
              <w:rPr>
                <w:sz w:val="24"/>
                <w:szCs w:val="24"/>
              </w:rPr>
            </w:pPr>
            <w:r w:rsidRPr="009956C9">
              <w:rPr>
                <w:sz w:val="24"/>
                <w:szCs w:val="24"/>
              </w:rPr>
              <w:t>1.</w:t>
            </w:r>
          </w:p>
        </w:tc>
        <w:tc>
          <w:tcPr>
            <w:tcW w:w="6173" w:type="dxa"/>
            <w:shd w:val="clear" w:color="auto" w:fill="FFFFFF"/>
            <w:vAlign w:val="center"/>
          </w:tcPr>
          <w:p w:rsidR="001D69BA" w:rsidRPr="009956C9" w:rsidRDefault="001D69BA" w:rsidP="005A6242">
            <w:pPr>
              <w:pStyle w:val="Other0"/>
              <w:spacing w:before="25" w:after="25" w:line="300" w:lineRule="auto"/>
              <w:ind w:left="124"/>
              <w:rPr>
                <w:sz w:val="24"/>
                <w:szCs w:val="24"/>
              </w:rPr>
            </w:pPr>
            <w:r w:rsidRPr="009956C9">
              <w:rPr>
                <w:sz w:val="24"/>
                <w:szCs w:val="24"/>
              </w:rPr>
              <w:t>Gyvenamieji ir kiti pastatai</w:t>
            </w:r>
          </w:p>
        </w:tc>
        <w:tc>
          <w:tcPr>
            <w:tcW w:w="2909" w:type="dxa"/>
            <w:shd w:val="clear" w:color="auto" w:fill="FFFFFF"/>
            <w:vAlign w:val="center"/>
          </w:tcPr>
          <w:p w:rsidR="001D69BA" w:rsidRPr="009956C9" w:rsidRDefault="001D69BA" w:rsidP="005A6242">
            <w:pPr>
              <w:pStyle w:val="Other0"/>
              <w:spacing w:before="25" w:after="25" w:line="300" w:lineRule="auto"/>
              <w:jc w:val="center"/>
              <w:rPr>
                <w:sz w:val="24"/>
                <w:szCs w:val="24"/>
              </w:rPr>
            </w:pPr>
            <w:r>
              <w:rPr>
                <w:sz w:val="24"/>
                <w:szCs w:val="24"/>
              </w:rPr>
              <w:t>4692,24</w:t>
            </w:r>
          </w:p>
        </w:tc>
      </w:tr>
      <w:tr w:rsidR="001D69BA" w:rsidRPr="009956C9" w:rsidTr="005A6242">
        <w:trPr>
          <w:trHeight w:hRule="exact" w:val="288"/>
          <w:jc w:val="center"/>
        </w:trPr>
        <w:tc>
          <w:tcPr>
            <w:tcW w:w="710" w:type="dxa"/>
            <w:shd w:val="clear" w:color="auto" w:fill="FFFFFF"/>
            <w:vAlign w:val="center"/>
          </w:tcPr>
          <w:p w:rsidR="001D69BA" w:rsidRPr="009956C9" w:rsidRDefault="001D69BA" w:rsidP="005A6242">
            <w:pPr>
              <w:pStyle w:val="Other0"/>
              <w:spacing w:before="25" w:after="25" w:line="300" w:lineRule="auto"/>
              <w:ind w:firstLine="260"/>
              <w:rPr>
                <w:sz w:val="24"/>
                <w:szCs w:val="24"/>
              </w:rPr>
            </w:pPr>
            <w:r w:rsidRPr="009956C9">
              <w:rPr>
                <w:sz w:val="24"/>
                <w:szCs w:val="24"/>
              </w:rPr>
              <w:t>2.</w:t>
            </w:r>
          </w:p>
        </w:tc>
        <w:tc>
          <w:tcPr>
            <w:tcW w:w="6173" w:type="dxa"/>
            <w:shd w:val="clear" w:color="auto" w:fill="FFFFFF"/>
            <w:vAlign w:val="center"/>
          </w:tcPr>
          <w:p w:rsidR="001D69BA" w:rsidRPr="009956C9" w:rsidRDefault="001D69BA" w:rsidP="005A6242">
            <w:pPr>
              <w:pStyle w:val="Other0"/>
              <w:spacing w:before="25" w:after="25" w:line="300" w:lineRule="auto"/>
              <w:ind w:left="124"/>
              <w:rPr>
                <w:sz w:val="24"/>
                <w:szCs w:val="24"/>
              </w:rPr>
            </w:pPr>
            <w:r w:rsidRPr="009956C9">
              <w:rPr>
                <w:sz w:val="24"/>
                <w:szCs w:val="24"/>
              </w:rPr>
              <w:t>Kiti statiniai</w:t>
            </w:r>
          </w:p>
        </w:tc>
        <w:tc>
          <w:tcPr>
            <w:tcW w:w="2909" w:type="dxa"/>
            <w:shd w:val="clear" w:color="auto" w:fill="FFFFFF"/>
            <w:vAlign w:val="center"/>
          </w:tcPr>
          <w:p w:rsidR="001D69BA" w:rsidRPr="009956C9" w:rsidRDefault="001D69BA" w:rsidP="005A6242">
            <w:pPr>
              <w:pStyle w:val="Other0"/>
              <w:spacing w:before="25" w:after="25" w:line="300" w:lineRule="auto"/>
              <w:jc w:val="center"/>
              <w:rPr>
                <w:sz w:val="24"/>
                <w:szCs w:val="24"/>
              </w:rPr>
            </w:pPr>
            <w:r>
              <w:rPr>
                <w:sz w:val="24"/>
                <w:szCs w:val="24"/>
              </w:rPr>
              <w:t>8063,19</w:t>
            </w:r>
          </w:p>
        </w:tc>
      </w:tr>
      <w:tr w:rsidR="001D69BA" w:rsidRPr="009956C9" w:rsidTr="005A6242">
        <w:trPr>
          <w:trHeight w:hRule="exact" w:val="283"/>
          <w:jc w:val="center"/>
        </w:trPr>
        <w:tc>
          <w:tcPr>
            <w:tcW w:w="710" w:type="dxa"/>
            <w:shd w:val="clear" w:color="auto" w:fill="FFFFFF"/>
            <w:vAlign w:val="center"/>
          </w:tcPr>
          <w:p w:rsidR="001D69BA" w:rsidRPr="009956C9" w:rsidRDefault="001D69BA" w:rsidP="005A6242">
            <w:pPr>
              <w:pStyle w:val="Other0"/>
              <w:spacing w:before="25" w:after="25" w:line="300" w:lineRule="auto"/>
              <w:ind w:firstLine="260"/>
              <w:rPr>
                <w:sz w:val="24"/>
                <w:szCs w:val="24"/>
              </w:rPr>
            </w:pPr>
            <w:r w:rsidRPr="009956C9">
              <w:rPr>
                <w:sz w:val="24"/>
                <w:szCs w:val="24"/>
              </w:rPr>
              <w:t>3.</w:t>
            </w:r>
          </w:p>
        </w:tc>
        <w:tc>
          <w:tcPr>
            <w:tcW w:w="6173" w:type="dxa"/>
            <w:shd w:val="clear" w:color="auto" w:fill="FFFFFF"/>
            <w:vAlign w:val="center"/>
          </w:tcPr>
          <w:p w:rsidR="001D69BA" w:rsidRPr="009956C9" w:rsidRDefault="001D69BA" w:rsidP="005A6242">
            <w:pPr>
              <w:pStyle w:val="Other0"/>
              <w:spacing w:before="25" w:after="25" w:line="300" w:lineRule="auto"/>
              <w:ind w:left="124"/>
              <w:rPr>
                <w:sz w:val="24"/>
                <w:szCs w:val="24"/>
              </w:rPr>
            </w:pPr>
            <w:r w:rsidRPr="009956C9">
              <w:rPr>
                <w:sz w:val="24"/>
                <w:szCs w:val="24"/>
              </w:rPr>
              <w:t>Mašinos ir įrengimai</w:t>
            </w:r>
          </w:p>
        </w:tc>
        <w:tc>
          <w:tcPr>
            <w:tcW w:w="2909" w:type="dxa"/>
            <w:shd w:val="clear" w:color="auto" w:fill="FFFFFF"/>
            <w:vAlign w:val="center"/>
          </w:tcPr>
          <w:p w:rsidR="001D69BA" w:rsidRPr="009956C9" w:rsidRDefault="001D69BA" w:rsidP="005A6242">
            <w:pPr>
              <w:spacing w:before="25" w:after="25" w:line="300" w:lineRule="auto"/>
              <w:jc w:val="center"/>
              <w:rPr>
                <w:rFonts w:ascii="Times New Roman" w:hAnsi="Times New Roman" w:cs="Times New Roman"/>
              </w:rPr>
            </w:pPr>
            <w:r>
              <w:rPr>
                <w:rFonts w:ascii="Times New Roman" w:hAnsi="Times New Roman" w:cs="Times New Roman"/>
              </w:rPr>
              <w:t>1266,99</w:t>
            </w:r>
          </w:p>
        </w:tc>
      </w:tr>
      <w:tr w:rsidR="001D69BA" w:rsidRPr="009956C9" w:rsidTr="005A6242">
        <w:trPr>
          <w:trHeight w:hRule="exact" w:val="288"/>
          <w:jc w:val="center"/>
        </w:trPr>
        <w:tc>
          <w:tcPr>
            <w:tcW w:w="710" w:type="dxa"/>
            <w:shd w:val="clear" w:color="auto" w:fill="FFFFFF"/>
            <w:vAlign w:val="center"/>
          </w:tcPr>
          <w:p w:rsidR="001D69BA" w:rsidRPr="009956C9" w:rsidRDefault="001D69BA" w:rsidP="005A6242">
            <w:pPr>
              <w:pStyle w:val="Other0"/>
              <w:spacing w:before="25" w:after="25" w:line="300" w:lineRule="auto"/>
              <w:ind w:firstLine="260"/>
              <w:rPr>
                <w:sz w:val="24"/>
                <w:szCs w:val="24"/>
              </w:rPr>
            </w:pPr>
            <w:r w:rsidRPr="009956C9">
              <w:rPr>
                <w:sz w:val="24"/>
                <w:szCs w:val="24"/>
              </w:rPr>
              <w:t>4.</w:t>
            </w:r>
          </w:p>
        </w:tc>
        <w:tc>
          <w:tcPr>
            <w:tcW w:w="6173" w:type="dxa"/>
            <w:shd w:val="clear" w:color="auto" w:fill="FFFFFF"/>
            <w:vAlign w:val="center"/>
          </w:tcPr>
          <w:p w:rsidR="001D69BA" w:rsidRPr="009956C9" w:rsidRDefault="001D69BA" w:rsidP="005A6242">
            <w:pPr>
              <w:pStyle w:val="Other0"/>
              <w:spacing w:before="25" w:after="25" w:line="300" w:lineRule="auto"/>
              <w:ind w:left="124"/>
              <w:rPr>
                <w:sz w:val="24"/>
                <w:szCs w:val="24"/>
              </w:rPr>
            </w:pPr>
            <w:r w:rsidRPr="009956C9">
              <w:rPr>
                <w:sz w:val="24"/>
                <w:szCs w:val="24"/>
              </w:rPr>
              <w:t>Transporto priemonės</w:t>
            </w:r>
          </w:p>
        </w:tc>
        <w:tc>
          <w:tcPr>
            <w:tcW w:w="2909" w:type="dxa"/>
            <w:shd w:val="clear" w:color="auto" w:fill="FFFFFF"/>
            <w:vAlign w:val="center"/>
          </w:tcPr>
          <w:p w:rsidR="001D69BA" w:rsidRPr="009956C9" w:rsidRDefault="001D69BA" w:rsidP="005A6242">
            <w:pPr>
              <w:spacing w:before="25" w:after="25" w:line="300" w:lineRule="auto"/>
              <w:jc w:val="center"/>
              <w:rPr>
                <w:rFonts w:ascii="Times New Roman" w:hAnsi="Times New Roman" w:cs="Times New Roman"/>
              </w:rPr>
            </w:pPr>
            <w:r>
              <w:rPr>
                <w:rFonts w:ascii="Times New Roman" w:hAnsi="Times New Roman" w:cs="Times New Roman"/>
              </w:rPr>
              <w:t>0,00</w:t>
            </w:r>
          </w:p>
        </w:tc>
      </w:tr>
      <w:tr w:rsidR="001D69BA" w:rsidRPr="009956C9" w:rsidTr="005A6242">
        <w:trPr>
          <w:trHeight w:hRule="exact" w:val="288"/>
          <w:jc w:val="center"/>
        </w:trPr>
        <w:tc>
          <w:tcPr>
            <w:tcW w:w="710" w:type="dxa"/>
            <w:shd w:val="clear" w:color="auto" w:fill="FFFFFF"/>
            <w:vAlign w:val="center"/>
          </w:tcPr>
          <w:p w:rsidR="001D69BA" w:rsidRPr="009956C9" w:rsidRDefault="001D69BA" w:rsidP="005A6242">
            <w:pPr>
              <w:pStyle w:val="Other0"/>
              <w:spacing w:before="25" w:after="25" w:line="300" w:lineRule="auto"/>
              <w:ind w:firstLine="260"/>
              <w:rPr>
                <w:sz w:val="24"/>
                <w:szCs w:val="24"/>
              </w:rPr>
            </w:pPr>
            <w:r w:rsidRPr="009956C9">
              <w:rPr>
                <w:sz w:val="24"/>
                <w:szCs w:val="24"/>
              </w:rPr>
              <w:t>5.</w:t>
            </w:r>
          </w:p>
        </w:tc>
        <w:tc>
          <w:tcPr>
            <w:tcW w:w="6173" w:type="dxa"/>
            <w:shd w:val="clear" w:color="auto" w:fill="FFFFFF"/>
            <w:vAlign w:val="center"/>
          </w:tcPr>
          <w:p w:rsidR="001D69BA" w:rsidRPr="009956C9" w:rsidRDefault="001D69BA" w:rsidP="005A6242">
            <w:pPr>
              <w:pStyle w:val="Other0"/>
              <w:spacing w:before="25" w:after="25" w:line="300" w:lineRule="auto"/>
              <w:ind w:left="124"/>
              <w:rPr>
                <w:sz w:val="24"/>
                <w:szCs w:val="24"/>
              </w:rPr>
            </w:pPr>
            <w:r w:rsidRPr="009956C9">
              <w:rPr>
                <w:sz w:val="24"/>
                <w:szCs w:val="24"/>
              </w:rPr>
              <w:t>Baldai ir biuro technika</w:t>
            </w:r>
          </w:p>
        </w:tc>
        <w:tc>
          <w:tcPr>
            <w:tcW w:w="2909" w:type="dxa"/>
            <w:shd w:val="clear" w:color="auto" w:fill="FFFFFF"/>
            <w:vAlign w:val="center"/>
          </w:tcPr>
          <w:p w:rsidR="001D69BA" w:rsidRPr="009956C9" w:rsidRDefault="001D69BA" w:rsidP="005A6242">
            <w:pPr>
              <w:pStyle w:val="Other0"/>
              <w:spacing w:before="25" w:after="25" w:line="300" w:lineRule="auto"/>
              <w:jc w:val="center"/>
              <w:rPr>
                <w:sz w:val="24"/>
                <w:szCs w:val="24"/>
              </w:rPr>
            </w:pPr>
            <w:r>
              <w:rPr>
                <w:sz w:val="24"/>
                <w:szCs w:val="24"/>
              </w:rPr>
              <w:t>277,70</w:t>
            </w:r>
          </w:p>
        </w:tc>
      </w:tr>
      <w:tr w:rsidR="001D69BA" w:rsidRPr="009956C9" w:rsidTr="005A6242">
        <w:trPr>
          <w:trHeight w:hRule="exact" w:val="283"/>
          <w:jc w:val="center"/>
        </w:trPr>
        <w:tc>
          <w:tcPr>
            <w:tcW w:w="710" w:type="dxa"/>
            <w:shd w:val="clear" w:color="auto" w:fill="FFFFFF"/>
            <w:vAlign w:val="center"/>
          </w:tcPr>
          <w:p w:rsidR="001D69BA" w:rsidRPr="009956C9" w:rsidRDefault="001D69BA" w:rsidP="005A6242">
            <w:pPr>
              <w:pStyle w:val="Other0"/>
              <w:spacing w:before="25" w:after="25" w:line="300" w:lineRule="auto"/>
              <w:ind w:firstLine="260"/>
              <w:rPr>
                <w:sz w:val="24"/>
                <w:szCs w:val="24"/>
              </w:rPr>
            </w:pPr>
            <w:r w:rsidRPr="009956C9">
              <w:rPr>
                <w:sz w:val="24"/>
                <w:szCs w:val="24"/>
              </w:rPr>
              <w:t>6.</w:t>
            </w:r>
          </w:p>
        </w:tc>
        <w:tc>
          <w:tcPr>
            <w:tcW w:w="6173" w:type="dxa"/>
            <w:shd w:val="clear" w:color="auto" w:fill="FFFFFF"/>
            <w:vAlign w:val="center"/>
          </w:tcPr>
          <w:p w:rsidR="001D69BA" w:rsidRPr="009956C9" w:rsidRDefault="001D69BA" w:rsidP="005A6242">
            <w:pPr>
              <w:pStyle w:val="Other0"/>
              <w:spacing w:before="25" w:after="25" w:line="300" w:lineRule="auto"/>
              <w:ind w:left="124"/>
              <w:rPr>
                <w:sz w:val="24"/>
                <w:szCs w:val="24"/>
              </w:rPr>
            </w:pPr>
            <w:r w:rsidRPr="009956C9">
              <w:rPr>
                <w:sz w:val="24"/>
                <w:szCs w:val="24"/>
              </w:rPr>
              <w:t>Kitas ilgalaikis turtas</w:t>
            </w:r>
          </w:p>
        </w:tc>
        <w:tc>
          <w:tcPr>
            <w:tcW w:w="2909" w:type="dxa"/>
            <w:shd w:val="clear" w:color="auto" w:fill="FFFFFF"/>
            <w:vAlign w:val="center"/>
          </w:tcPr>
          <w:p w:rsidR="001D69BA" w:rsidRPr="009956C9" w:rsidRDefault="001D69BA" w:rsidP="005A6242">
            <w:pPr>
              <w:spacing w:before="25" w:after="25" w:line="300" w:lineRule="auto"/>
              <w:jc w:val="center"/>
              <w:rPr>
                <w:rFonts w:ascii="Times New Roman" w:hAnsi="Times New Roman" w:cs="Times New Roman"/>
              </w:rPr>
            </w:pPr>
            <w:r>
              <w:rPr>
                <w:rFonts w:ascii="Times New Roman" w:hAnsi="Times New Roman" w:cs="Times New Roman"/>
              </w:rPr>
              <w:t>0,00</w:t>
            </w:r>
          </w:p>
        </w:tc>
      </w:tr>
      <w:tr w:rsidR="001D69BA" w:rsidRPr="009956C9" w:rsidTr="005A6242">
        <w:trPr>
          <w:trHeight w:hRule="exact" w:val="288"/>
          <w:jc w:val="center"/>
        </w:trPr>
        <w:tc>
          <w:tcPr>
            <w:tcW w:w="710" w:type="dxa"/>
            <w:shd w:val="clear" w:color="auto" w:fill="FFFFFF"/>
            <w:vAlign w:val="center"/>
          </w:tcPr>
          <w:p w:rsidR="001D69BA" w:rsidRPr="009956C9" w:rsidRDefault="001D69BA" w:rsidP="005A6242">
            <w:pPr>
              <w:pStyle w:val="Other0"/>
              <w:spacing w:before="25" w:after="25" w:line="300" w:lineRule="auto"/>
              <w:ind w:firstLine="260"/>
              <w:rPr>
                <w:sz w:val="24"/>
                <w:szCs w:val="24"/>
              </w:rPr>
            </w:pPr>
            <w:r w:rsidRPr="009956C9">
              <w:rPr>
                <w:sz w:val="24"/>
                <w:szCs w:val="24"/>
              </w:rPr>
              <w:t>7.</w:t>
            </w:r>
          </w:p>
        </w:tc>
        <w:tc>
          <w:tcPr>
            <w:tcW w:w="6173" w:type="dxa"/>
            <w:shd w:val="clear" w:color="auto" w:fill="FFFFFF"/>
            <w:vAlign w:val="center"/>
          </w:tcPr>
          <w:p w:rsidR="001D69BA" w:rsidRPr="009956C9" w:rsidRDefault="001D69BA" w:rsidP="005A6242">
            <w:pPr>
              <w:pStyle w:val="Other0"/>
              <w:spacing w:before="25" w:after="25" w:line="300" w:lineRule="auto"/>
              <w:ind w:left="124"/>
              <w:rPr>
                <w:sz w:val="24"/>
                <w:szCs w:val="24"/>
              </w:rPr>
            </w:pPr>
            <w:r w:rsidRPr="009956C9">
              <w:rPr>
                <w:sz w:val="24"/>
                <w:szCs w:val="24"/>
              </w:rPr>
              <w:t>Programinė įranga ir licencijos</w:t>
            </w:r>
          </w:p>
        </w:tc>
        <w:tc>
          <w:tcPr>
            <w:tcW w:w="2909" w:type="dxa"/>
            <w:shd w:val="clear" w:color="auto" w:fill="FFFFFF"/>
            <w:vAlign w:val="center"/>
          </w:tcPr>
          <w:p w:rsidR="001D69BA" w:rsidRPr="009956C9" w:rsidRDefault="001D69BA" w:rsidP="005A6242">
            <w:pPr>
              <w:spacing w:before="25" w:after="25" w:line="300" w:lineRule="auto"/>
              <w:jc w:val="center"/>
              <w:rPr>
                <w:rFonts w:ascii="Times New Roman" w:hAnsi="Times New Roman" w:cs="Times New Roman"/>
              </w:rPr>
            </w:pPr>
            <w:r>
              <w:rPr>
                <w:rFonts w:ascii="Times New Roman" w:hAnsi="Times New Roman" w:cs="Times New Roman"/>
              </w:rPr>
              <w:t>0,00</w:t>
            </w:r>
          </w:p>
        </w:tc>
      </w:tr>
      <w:tr w:rsidR="001D69BA" w:rsidRPr="009956C9" w:rsidTr="005A6242">
        <w:trPr>
          <w:trHeight w:hRule="exact" w:val="293"/>
          <w:jc w:val="center"/>
        </w:trPr>
        <w:tc>
          <w:tcPr>
            <w:tcW w:w="710" w:type="dxa"/>
            <w:shd w:val="clear" w:color="auto" w:fill="FFFFFF"/>
            <w:vAlign w:val="center"/>
          </w:tcPr>
          <w:p w:rsidR="001D69BA" w:rsidRPr="009956C9" w:rsidRDefault="001D69BA" w:rsidP="005A6242">
            <w:pPr>
              <w:pStyle w:val="Other0"/>
              <w:spacing w:before="25" w:after="25" w:line="300" w:lineRule="auto"/>
              <w:ind w:firstLine="260"/>
              <w:rPr>
                <w:sz w:val="24"/>
                <w:szCs w:val="24"/>
              </w:rPr>
            </w:pPr>
            <w:r w:rsidRPr="009956C9">
              <w:rPr>
                <w:sz w:val="24"/>
                <w:szCs w:val="24"/>
              </w:rPr>
              <w:t>8.</w:t>
            </w:r>
          </w:p>
        </w:tc>
        <w:tc>
          <w:tcPr>
            <w:tcW w:w="6173" w:type="dxa"/>
            <w:shd w:val="clear" w:color="auto" w:fill="FFFFFF"/>
            <w:vAlign w:val="center"/>
          </w:tcPr>
          <w:p w:rsidR="001D69BA" w:rsidRPr="009956C9" w:rsidRDefault="001D69BA" w:rsidP="005A6242">
            <w:pPr>
              <w:pStyle w:val="Other0"/>
              <w:spacing w:before="25" w:after="25" w:line="300" w:lineRule="auto"/>
              <w:ind w:left="124"/>
              <w:rPr>
                <w:sz w:val="24"/>
                <w:szCs w:val="24"/>
              </w:rPr>
            </w:pPr>
            <w:r w:rsidRPr="009956C9">
              <w:rPr>
                <w:sz w:val="24"/>
                <w:szCs w:val="24"/>
              </w:rPr>
              <w:t>Kitas nematerialus turtas</w:t>
            </w:r>
          </w:p>
        </w:tc>
        <w:tc>
          <w:tcPr>
            <w:tcW w:w="2909" w:type="dxa"/>
            <w:shd w:val="clear" w:color="auto" w:fill="FFFFFF"/>
            <w:vAlign w:val="center"/>
          </w:tcPr>
          <w:p w:rsidR="001D69BA" w:rsidRPr="009956C9" w:rsidRDefault="001D69BA" w:rsidP="005A6242">
            <w:pPr>
              <w:spacing w:before="25" w:after="25" w:line="300" w:lineRule="auto"/>
              <w:jc w:val="center"/>
              <w:rPr>
                <w:rFonts w:ascii="Times New Roman" w:hAnsi="Times New Roman" w:cs="Times New Roman"/>
              </w:rPr>
            </w:pPr>
            <w:r>
              <w:rPr>
                <w:rFonts w:ascii="Times New Roman" w:hAnsi="Times New Roman" w:cs="Times New Roman"/>
              </w:rPr>
              <w:t>0,00</w:t>
            </w:r>
          </w:p>
        </w:tc>
      </w:tr>
    </w:tbl>
    <w:p w:rsidR="001D69BA" w:rsidRPr="009956C9" w:rsidRDefault="001D69BA" w:rsidP="001D69BA">
      <w:pPr>
        <w:pStyle w:val="Tablecaption0"/>
        <w:spacing w:before="120" w:after="120" w:line="300" w:lineRule="auto"/>
        <w:ind w:left="346"/>
        <w:rPr>
          <w:sz w:val="24"/>
          <w:szCs w:val="24"/>
        </w:rPr>
      </w:pPr>
      <w:r w:rsidRPr="009956C9">
        <w:rPr>
          <w:sz w:val="24"/>
          <w:szCs w:val="24"/>
        </w:rPr>
        <w:t xml:space="preserve">• Komunalinių paslaugų ir ryšių sąnaudos </w:t>
      </w:r>
      <w:r>
        <w:rPr>
          <w:sz w:val="24"/>
          <w:szCs w:val="24"/>
        </w:rPr>
        <w:t>45217,55</w:t>
      </w:r>
      <w:r w:rsidRPr="009956C9">
        <w:rPr>
          <w:sz w:val="24"/>
          <w:szCs w:val="24"/>
        </w:rPr>
        <w:t xml:space="preserve"> </w:t>
      </w:r>
      <w:proofErr w:type="spellStart"/>
      <w:r w:rsidRPr="009956C9">
        <w:rPr>
          <w:sz w:val="24"/>
          <w:szCs w:val="24"/>
        </w:rPr>
        <w:t>Eur</w:t>
      </w:r>
      <w:proofErr w:type="spellEnd"/>
      <w:r w:rsidRPr="009956C9">
        <w:rPr>
          <w:sz w:val="24"/>
          <w:szCs w:val="24"/>
        </w:rPr>
        <w:t xml:space="preserve"> :</w:t>
      </w:r>
    </w:p>
    <w:tbl>
      <w:tblPr>
        <w:tblOverlap w:val="never"/>
        <w:tblW w:w="9868" w:type="dxa"/>
        <w:jc w:val="center"/>
        <w:tblLayout w:type="fixed"/>
        <w:tblCellMar>
          <w:left w:w="10" w:type="dxa"/>
          <w:right w:w="10" w:type="dxa"/>
        </w:tblCellMar>
        <w:tblLook w:val="04A0" w:firstRow="1" w:lastRow="0" w:firstColumn="1" w:lastColumn="0" w:noHBand="0" w:noVBand="1"/>
      </w:tblPr>
      <w:tblGrid>
        <w:gridCol w:w="710"/>
        <w:gridCol w:w="5880"/>
        <w:gridCol w:w="3278"/>
      </w:tblGrid>
      <w:tr w:rsidR="001D69BA" w:rsidRPr="009956C9" w:rsidTr="005A6242">
        <w:trPr>
          <w:trHeight w:hRule="exact" w:val="701"/>
          <w:jc w:val="center"/>
        </w:trPr>
        <w:tc>
          <w:tcPr>
            <w:tcW w:w="710" w:type="dxa"/>
            <w:tcBorders>
              <w:top w:val="single" w:sz="4" w:space="0" w:color="auto"/>
              <w:left w:val="single" w:sz="4" w:space="0" w:color="auto"/>
            </w:tcBorders>
            <w:shd w:val="clear" w:color="auto" w:fill="FFFFFF"/>
            <w:vAlign w:val="center"/>
          </w:tcPr>
          <w:p w:rsidR="001D69BA" w:rsidRPr="009956C9" w:rsidRDefault="001D69BA" w:rsidP="005A6242">
            <w:pPr>
              <w:pStyle w:val="Other0"/>
              <w:spacing w:before="25" w:after="25" w:line="300" w:lineRule="auto"/>
              <w:ind w:firstLine="180"/>
              <w:rPr>
                <w:sz w:val="24"/>
                <w:szCs w:val="24"/>
              </w:rPr>
            </w:pPr>
            <w:proofErr w:type="spellStart"/>
            <w:r w:rsidRPr="009956C9">
              <w:rPr>
                <w:sz w:val="24"/>
                <w:szCs w:val="24"/>
              </w:rPr>
              <w:t>Eil</w:t>
            </w:r>
            <w:proofErr w:type="spellEnd"/>
            <w:r w:rsidRPr="009956C9">
              <w:rPr>
                <w:sz w:val="24"/>
                <w:szCs w:val="24"/>
              </w:rPr>
              <w:t>.</w:t>
            </w:r>
          </w:p>
          <w:p w:rsidR="001D69BA" w:rsidRPr="009956C9" w:rsidRDefault="001D69BA" w:rsidP="005A6242">
            <w:pPr>
              <w:pStyle w:val="Other0"/>
              <w:spacing w:before="25" w:after="25" w:line="300" w:lineRule="auto"/>
              <w:ind w:firstLine="180"/>
              <w:rPr>
                <w:sz w:val="24"/>
                <w:szCs w:val="24"/>
              </w:rPr>
            </w:pPr>
            <w:proofErr w:type="spellStart"/>
            <w:r w:rsidRPr="009956C9">
              <w:rPr>
                <w:sz w:val="24"/>
                <w:szCs w:val="24"/>
              </w:rPr>
              <w:t>Nr</w:t>
            </w:r>
            <w:proofErr w:type="spellEnd"/>
            <w:r w:rsidRPr="009956C9">
              <w:rPr>
                <w:sz w:val="24"/>
                <w:szCs w:val="24"/>
              </w:rPr>
              <w:t>.</w:t>
            </w:r>
          </w:p>
        </w:tc>
        <w:tc>
          <w:tcPr>
            <w:tcW w:w="5880" w:type="dxa"/>
            <w:tcBorders>
              <w:top w:val="single" w:sz="4" w:space="0" w:color="auto"/>
              <w:left w:val="single" w:sz="4" w:space="0" w:color="auto"/>
            </w:tcBorders>
            <w:shd w:val="clear" w:color="auto" w:fill="FFFFFF"/>
            <w:vAlign w:val="center"/>
          </w:tcPr>
          <w:p w:rsidR="001D69BA" w:rsidRPr="009956C9" w:rsidRDefault="001D69BA" w:rsidP="005A6242">
            <w:pPr>
              <w:pStyle w:val="Other0"/>
              <w:spacing w:before="25" w:after="25" w:line="300" w:lineRule="auto"/>
              <w:ind w:left="2480"/>
              <w:rPr>
                <w:sz w:val="24"/>
                <w:szCs w:val="24"/>
              </w:rPr>
            </w:pPr>
            <w:r w:rsidRPr="009956C9">
              <w:rPr>
                <w:sz w:val="24"/>
                <w:szCs w:val="24"/>
              </w:rPr>
              <w:t>Sąnaudos</w:t>
            </w:r>
          </w:p>
        </w:tc>
        <w:tc>
          <w:tcPr>
            <w:tcW w:w="3278" w:type="dxa"/>
            <w:tcBorders>
              <w:top w:val="single" w:sz="4" w:space="0" w:color="auto"/>
              <w:left w:val="single" w:sz="4" w:space="0" w:color="auto"/>
              <w:right w:val="single" w:sz="4" w:space="0" w:color="auto"/>
            </w:tcBorders>
            <w:shd w:val="clear" w:color="auto" w:fill="FFFFFF"/>
            <w:vAlign w:val="center"/>
          </w:tcPr>
          <w:p w:rsidR="001D69BA" w:rsidRPr="009956C9" w:rsidRDefault="001D69BA" w:rsidP="005A6242">
            <w:pPr>
              <w:pStyle w:val="Other0"/>
              <w:spacing w:before="25" w:after="25" w:line="300" w:lineRule="auto"/>
              <w:jc w:val="center"/>
              <w:rPr>
                <w:sz w:val="24"/>
                <w:szCs w:val="24"/>
              </w:rPr>
            </w:pPr>
            <w:r w:rsidRPr="009956C9">
              <w:rPr>
                <w:sz w:val="24"/>
                <w:szCs w:val="24"/>
              </w:rPr>
              <w:t>Suma (</w:t>
            </w:r>
            <w:proofErr w:type="spellStart"/>
            <w:r w:rsidRPr="009956C9">
              <w:rPr>
                <w:sz w:val="24"/>
                <w:szCs w:val="24"/>
              </w:rPr>
              <w:t>Eur</w:t>
            </w:r>
            <w:proofErr w:type="spellEnd"/>
            <w:r w:rsidRPr="009956C9">
              <w:rPr>
                <w:sz w:val="24"/>
                <w:szCs w:val="24"/>
              </w:rPr>
              <w:t>)</w:t>
            </w:r>
          </w:p>
        </w:tc>
      </w:tr>
      <w:tr w:rsidR="001D69BA" w:rsidRPr="009956C9" w:rsidTr="005A6242">
        <w:trPr>
          <w:trHeight w:hRule="exact" w:val="288"/>
          <w:jc w:val="center"/>
        </w:trPr>
        <w:tc>
          <w:tcPr>
            <w:tcW w:w="710" w:type="dxa"/>
            <w:tcBorders>
              <w:top w:val="single" w:sz="4" w:space="0" w:color="auto"/>
              <w:left w:val="single" w:sz="4" w:space="0" w:color="auto"/>
            </w:tcBorders>
            <w:shd w:val="clear" w:color="auto" w:fill="FFFFFF"/>
            <w:vAlign w:val="center"/>
          </w:tcPr>
          <w:p w:rsidR="001D69BA" w:rsidRPr="009956C9" w:rsidRDefault="001D69BA" w:rsidP="005A6242">
            <w:pPr>
              <w:pStyle w:val="Other0"/>
              <w:spacing w:before="25" w:after="25" w:line="300" w:lineRule="auto"/>
              <w:ind w:firstLine="260"/>
              <w:rPr>
                <w:sz w:val="24"/>
                <w:szCs w:val="24"/>
              </w:rPr>
            </w:pPr>
            <w:r w:rsidRPr="009956C9">
              <w:rPr>
                <w:sz w:val="24"/>
                <w:szCs w:val="24"/>
              </w:rPr>
              <w:t>1.</w:t>
            </w:r>
          </w:p>
        </w:tc>
        <w:tc>
          <w:tcPr>
            <w:tcW w:w="5880" w:type="dxa"/>
            <w:tcBorders>
              <w:top w:val="single" w:sz="4" w:space="0" w:color="auto"/>
              <w:left w:val="single" w:sz="4" w:space="0" w:color="auto"/>
            </w:tcBorders>
            <w:shd w:val="clear" w:color="auto" w:fill="FFFFFF"/>
            <w:vAlign w:val="center"/>
          </w:tcPr>
          <w:p w:rsidR="001D69BA" w:rsidRPr="009956C9" w:rsidRDefault="001D69BA" w:rsidP="005A6242">
            <w:pPr>
              <w:pStyle w:val="Other0"/>
              <w:spacing w:before="25" w:after="25" w:line="300" w:lineRule="auto"/>
              <w:ind w:left="124"/>
              <w:rPr>
                <w:sz w:val="24"/>
                <w:szCs w:val="24"/>
              </w:rPr>
            </w:pPr>
            <w:r w:rsidRPr="009956C9">
              <w:rPr>
                <w:sz w:val="24"/>
                <w:szCs w:val="24"/>
              </w:rPr>
              <w:t>Šildymo</w:t>
            </w:r>
          </w:p>
        </w:tc>
        <w:tc>
          <w:tcPr>
            <w:tcW w:w="3278" w:type="dxa"/>
            <w:tcBorders>
              <w:top w:val="single" w:sz="4" w:space="0" w:color="auto"/>
              <w:left w:val="single" w:sz="4" w:space="0" w:color="auto"/>
              <w:right w:val="single" w:sz="4" w:space="0" w:color="auto"/>
            </w:tcBorders>
            <w:shd w:val="clear" w:color="auto" w:fill="FFFFFF"/>
            <w:vAlign w:val="center"/>
          </w:tcPr>
          <w:p w:rsidR="001D69BA" w:rsidRPr="009956C9" w:rsidRDefault="001D69BA" w:rsidP="005A6242">
            <w:pPr>
              <w:pStyle w:val="Other0"/>
              <w:spacing w:before="25" w:after="25" w:line="300" w:lineRule="auto"/>
              <w:jc w:val="center"/>
              <w:rPr>
                <w:sz w:val="24"/>
                <w:szCs w:val="24"/>
              </w:rPr>
            </w:pPr>
            <w:r>
              <w:rPr>
                <w:sz w:val="24"/>
                <w:szCs w:val="24"/>
              </w:rPr>
              <w:t>35429,04</w:t>
            </w:r>
          </w:p>
        </w:tc>
      </w:tr>
      <w:tr w:rsidR="001D69BA" w:rsidRPr="009956C9" w:rsidTr="005A6242">
        <w:trPr>
          <w:trHeight w:hRule="exact" w:val="283"/>
          <w:jc w:val="center"/>
        </w:trPr>
        <w:tc>
          <w:tcPr>
            <w:tcW w:w="710" w:type="dxa"/>
            <w:tcBorders>
              <w:top w:val="single" w:sz="4" w:space="0" w:color="auto"/>
              <w:left w:val="single" w:sz="4" w:space="0" w:color="auto"/>
            </w:tcBorders>
            <w:shd w:val="clear" w:color="auto" w:fill="FFFFFF"/>
            <w:vAlign w:val="center"/>
          </w:tcPr>
          <w:p w:rsidR="001D69BA" w:rsidRPr="009956C9" w:rsidRDefault="001D69BA" w:rsidP="005A6242">
            <w:pPr>
              <w:pStyle w:val="Other0"/>
              <w:spacing w:before="25" w:after="25" w:line="300" w:lineRule="auto"/>
              <w:ind w:firstLine="260"/>
              <w:rPr>
                <w:sz w:val="24"/>
                <w:szCs w:val="24"/>
              </w:rPr>
            </w:pPr>
            <w:r w:rsidRPr="009956C9">
              <w:rPr>
                <w:sz w:val="24"/>
                <w:szCs w:val="24"/>
              </w:rPr>
              <w:t>2.</w:t>
            </w:r>
          </w:p>
        </w:tc>
        <w:tc>
          <w:tcPr>
            <w:tcW w:w="5880" w:type="dxa"/>
            <w:tcBorders>
              <w:top w:val="single" w:sz="4" w:space="0" w:color="auto"/>
              <w:left w:val="single" w:sz="4" w:space="0" w:color="auto"/>
            </w:tcBorders>
            <w:shd w:val="clear" w:color="auto" w:fill="FFFFFF"/>
            <w:vAlign w:val="center"/>
          </w:tcPr>
          <w:p w:rsidR="001D69BA" w:rsidRPr="009956C9" w:rsidRDefault="001D69BA" w:rsidP="005A6242">
            <w:pPr>
              <w:pStyle w:val="Other0"/>
              <w:spacing w:before="25" w:after="25" w:line="300" w:lineRule="auto"/>
              <w:ind w:left="124"/>
              <w:rPr>
                <w:sz w:val="24"/>
                <w:szCs w:val="24"/>
              </w:rPr>
            </w:pPr>
            <w:r w:rsidRPr="009956C9">
              <w:rPr>
                <w:sz w:val="24"/>
                <w:szCs w:val="24"/>
              </w:rPr>
              <w:t>Elektros energijos</w:t>
            </w:r>
          </w:p>
        </w:tc>
        <w:tc>
          <w:tcPr>
            <w:tcW w:w="3278" w:type="dxa"/>
            <w:tcBorders>
              <w:top w:val="single" w:sz="4" w:space="0" w:color="auto"/>
              <w:left w:val="single" w:sz="4" w:space="0" w:color="auto"/>
              <w:right w:val="single" w:sz="4" w:space="0" w:color="auto"/>
            </w:tcBorders>
            <w:shd w:val="clear" w:color="auto" w:fill="FFFFFF"/>
            <w:vAlign w:val="center"/>
          </w:tcPr>
          <w:p w:rsidR="001D69BA" w:rsidRPr="009956C9" w:rsidRDefault="001D69BA" w:rsidP="005A6242">
            <w:pPr>
              <w:pStyle w:val="Other0"/>
              <w:spacing w:before="25" w:after="25" w:line="300" w:lineRule="auto"/>
              <w:jc w:val="center"/>
              <w:rPr>
                <w:sz w:val="24"/>
                <w:szCs w:val="24"/>
              </w:rPr>
            </w:pPr>
            <w:r>
              <w:rPr>
                <w:sz w:val="24"/>
                <w:szCs w:val="24"/>
              </w:rPr>
              <w:t>4199,05</w:t>
            </w:r>
          </w:p>
        </w:tc>
      </w:tr>
      <w:tr w:rsidR="001D69BA" w:rsidRPr="009956C9" w:rsidTr="005A6242">
        <w:trPr>
          <w:trHeight w:hRule="exact" w:val="288"/>
          <w:jc w:val="center"/>
        </w:trPr>
        <w:tc>
          <w:tcPr>
            <w:tcW w:w="710" w:type="dxa"/>
            <w:tcBorders>
              <w:top w:val="single" w:sz="4" w:space="0" w:color="auto"/>
              <w:left w:val="single" w:sz="4" w:space="0" w:color="auto"/>
            </w:tcBorders>
            <w:shd w:val="clear" w:color="auto" w:fill="FFFFFF"/>
            <w:vAlign w:val="center"/>
          </w:tcPr>
          <w:p w:rsidR="001D69BA" w:rsidRPr="009956C9" w:rsidRDefault="001D69BA" w:rsidP="005A6242">
            <w:pPr>
              <w:pStyle w:val="Other0"/>
              <w:spacing w:before="25" w:after="25" w:line="300" w:lineRule="auto"/>
              <w:ind w:firstLine="260"/>
              <w:rPr>
                <w:sz w:val="24"/>
                <w:szCs w:val="24"/>
              </w:rPr>
            </w:pPr>
            <w:r w:rsidRPr="009956C9">
              <w:rPr>
                <w:sz w:val="24"/>
                <w:szCs w:val="24"/>
              </w:rPr>
              <w:t>3.</w:t>
            </w:r>
          </w:p>
        </w:tc>
        <w:tc>
          <w:tcPr>
            <w:tcW w:w="5880" w:type="dxa"/>
            <w:tcBorders>
              <w:top w:val="single" w:sz="4" w:space="0" w:color="auto"/>
              <w:left w:val="single" w:sz="4" w:space="0" w:color="auto"/>
            </w:tcBorders>
            <w:shd w:val="clear" w:color="auto" w:fill="FFFFFF"/>
            <w:vAlign w:val="center"/>
          </w:tcPr>
          <w:p w:rsidR="001D69BA" w:rsidRPr="009956C9" w:rsidRDefault="001D69BA" w:rsidP="005A6242">
            <w:pPr>
              <w:pStyle w:val="Other0"/>
              <w:spacing w:before="25" w:after="25" w:line="300" w:lineRule="auto"/>
              <w:ind w:left="124"/>
              <w:rPr>
                <w:sz w:val="24"/>
                <w:szCs w:val="24"/>
              </w:rPr>
            </w:pPr>
            <w:r w:rsidRPr="009956C9">
              <w:rPr>
                <w:sz w:val="24"/>
                <w:szCs w:val="24"/>
              </w:rPr>
              <w:t>Vandentiekio ir kanalizacijos</w:t>
            </w:r>
          </w:p>
        </w:tc>
        <w:tc>
          <w:tcPr>
            <w:tcW w:w="3278" w:type="dxa"/>
            <w:tcBorders>
              <w:top w:val="single" w:sz="4" w:space="0" w:color="auto"/>
              <w:left w:val="single" w:sz="4" w:space="0" w:color="auto"/>
              <w:right w:val="single" w:sz="4" w:space="0" w:color="auto"/>
            </w:tcBorders>
            <w:shd w:val="clear" w:color="auto" w:fill="FFFFFF"/>
            <w:vAlign w:val="center"/>
          </w:tcPr>
          <w:p w:rsidR="001D69BA" w:rsidRPr="009956C9" w:rsidRDefault="001D69BA" w:rsidP="005A6242">
            <w:pPr>
              <w:pStyle w:val="Other0"/>
              <w:spacing w:before="25" w:after="25" w:line="300" w:lineRule="auto"/>
              <w:jc w:val="center"/>
              <w:rPr>
                <w:sz w:val="24"/>
                <w:szCs w:val="24"/>
              </w:rPr>
            </w:pPr>
            <w:r>
              <w:rPr>
                <w:sz w:val="24"/>
                <w:szCs w:val="24"/>
              </w:rPr>
              <w:t>4188,45</w:t>
            </w:r>
          </w:p>
        </w:tc>
      </w:tr>
      <w:tr w:rsidR="001D69BA" w:rsidRPr="009956C9" w:rsidTr="005A6242">
        <w:trPr>
          <w:trHeight w:hRule="exact" w:val="288"/>
          <w:jc w:val="center"/>
        </w:trPr>
        <w:tc>
          <w:tcPr>
            <w:tcW w:w="710" w:type="dxa"/>
            <w:tcBorders>
              <w:top w:val="single" w:sz="4" w:space="0" w:color="auto"/>
              <w:left w:val="single" w:sz="4" w:space="0" w:color="auto"/>
            </w:tcBorders>
            <w:shd w:val="clear" w:color="auto" w:fill="FFFFFF"/>
            <w:vAlign w:val="center"/>
          </w:tcPr>
          <w:p w:rsidR="001D69BA" w:rsidRPr="009956C9" w:rsidRDefault="001D69BA" w:rsidP="005A6242">
            <w:pPr>
              <w:pStyle w:val="Other0"/>
              <w:spacing w:before="25" w:after="25" w:line="300" w:lineRule="auto"/>
              <w:ind w:firstLine="260"/>
              <w:rPr>
                <w:sz w:val="24"/>
                <w:szCs w:val="24"/>
              </w:rPr>
            </w:pPr>
            <w:r w:rsidRPr="009956C9">
              <w:rPr>
                <w:sz w:val="24"/>
                <w:szCs w:val="24"/>
              </w:rPr>
              <w:t>4.</w:t>
            </w:r>
          </w:p>
        </w:tc>
        <w:tc>
          <w:tcPr>
            <w:tcW w:w="5880" w:type="dxa"/>
            <w:tcBorders>
              <w:top w:val="single" w:sz="4" w:space="0" w:color="auto"/>
              <w:left w:val="single" w:sz="4" w:space="0" w:color="auto"/>
            </w:tcBorders>
            <w:shd w:val="clear" w:color="auto" w:fill="FFFFFF"/>
            <w:vAlign w:val="center"/>
          </w:tcPr>
          <w:p w:rsidR="001D69BA" w:rsidRPr="009956C9" w:rsidRDefault="001D69BA" w:rsidP="005A6242">
            <w:pPr>
              <w:pStyle w:val="Other0"/>
              <w:spacing w:before="25" w:after="25" w:line="300" w:lineRule="auto"/>
              <w:ind w:left="124"/>
              <w:rPr>
                <w:sz w:val="24"/>
                <w:szCs w:val="24"/>
              </w:rPr>
            </w:pPr>
            <w:r w:rsidRPr="009956C9">
              <w:rPr>
                <w:sz w:val="24"/>
                <w:szCs w:val="24"/>
              </w:rPr>
              <w:t>Ryšių paslaugų</w:t>
            </w:r>
          </w:p>
        </w:tc>
        <w:tc>
          <w:tcPr>
            <w:tcW w:w="3278" w:type="dxa"/>
            <w:tcBorders>
              <w:top w:val="single" w:sz="4" w:space="0" w:color="auto"/>
              <w:left w:val="single" w:sz="4" w:space="0" w:color="auto"/>
              <w:right w:val="single" w:sz="4" w:space="0" w:color="auto"/>
            </w:tcBorders>
            <w:shd w:val="clear" w:color="auto" w:fill="FFFFFF"/>
            <w:vAlign w:val="center"/>
          </w:tcPr>
          <w:p w:rsidR="001D69BA" w:rsidRPr="009956C9" w:rsidRDefault="001D69BA" w:rsidP="005A6242">
            <w:pPr>
              <w:pStyle w:val="Other0"/>
              <w:spacing w:before="25" w:after="25" w:line="300" w:lineRule="auto"/>
              <w:jc w:val="center"/>
              <w:rPr>
                <w:sz w:val="24"/>
                <w:szCs w:val="24"/>
              </w:rPr>
            </w:pPr>
            <w:r>
              <w:rPr>
                <w:sz w:val="24"/>
                <w:szCs w:val="24"/>
              </w:rPr>
              <w:t>761,37</w:t>
            </w:r>
          </w:p>
        </w:tc>
      </w:tr>
      <w:tr w:rsidR="001D69BA" w:rsidRPr="009956C9" w:rsidTr="005A6242">
        <w:trPr>
          <w:trHeight w:hRule="exact" w:val="293"/>
          <w:jc w:val="center"/>
        </w:trPr>
        <w:tc>
          <w:tcPr>
            <w:tcW w:w="710" w:type="dxa"/>
            <w:tcBorders>
              <w:top w:val="single" w:sz="4" w:space="0" w:color="auto"/>
              <w:left w:val="single" w:sz="4" w:space="0" w:color="auto"/>
              <w:bottom w:val="single" w:sz="4" w:space="0" w:color="auto"/>
            </w:tcBorders>
            <w:shd w:val="clear" w:color="auto" w:fill="FFFFFF"/>
            <w:vAlign w:val="center"/>
          </w:tcPr>
          <w:p w:rsidR="001D69BA" w:rsidRPr="009956C9" w:rsidRDefault="001D69BA" w:rsidP="005A6242">
            <w:pPr>
              <w:pStyle w:val="Other0"/>
              <w:spacing w:before="25" w:after="25" w:line="300" w:lineRule="auto"/>
              <w:ind w:firstLine="260"/>
              <w:rPr>
                <w:sz w:val="24"/>
                <w:szCs w:val="24"/>
              </w:rPr>
            </w:pPr>
            <w:r w:rsidRPr="009956C9">
              <w:rPr>
                <w:sz w:val="24"/>
                <w:szCs w:val="24"/>
              </w:rPr>
              <w:t>5.</w:t>
            </w:r>
          </w:p>
        </w:tc>
        <w:tc>
          <w:tcPr>
            <w:tcW w:w="5880" w:type="dxa"/>
            <w:tcBorders>
              <w:top w:val="single" w:sz="4" w:space="0" w:color="auto"/>
              <w:left w:val="single" w:sz="4" w:space="0" w:color="auto"/>
              <w:bottom w:val="single" w:sz="4" w:space="0" w:color="auto"/>
            </w:tcBorders>
            <w:shd w:val="clear" w:color="auto" w:fill="FFFFFF"/>
            <w:vAlign w:val="center"/>
          </w:tcPr>
          <w:p w:rsidR="001D69BA" w:rsidRPr="009956C9" w:rsidRDefault="001D69BA" w:rsidP="005A6242">
            <w:pPr>
              <w:pStyle w:val="Other0"/>
              <w:spacing w:before="25" w:after="25" w:line="300" w:lineRule="auto"/>
              <w:ind w:left="124"/>
              <w:rPr>
                <w:sz w:val="24"/>
                <w:szCs w:val="24"/>
              </w:rPr>
            </w:pPr>
            <w:r w:rsidRPr="009956C9">
              <w:rPr>
                <w:sz w:val="24"/>
                <w:szCs w:val="24"/>
              </w:rPr>
              <w:t>Šiukšlių išvežimo</w:t>
            </w:r>
          </w:p>
        </w:tc>
        <w:tc>
          <w:tcPr>
            <w:tcW w:w="3278"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Pr="009956C9" w:rsidRDefault="001D69BA" w:rsidP="005A6242">
            <w:pPr>
              <w:pStyle w:val="Other0"/>
              <w:spacing w:before="25" w:after="25" w:line="300" w:lineRule="auto"/>
              <w:jc w:val="center"/>
              <w:rPr>
                <w:sz w:val="24"/>
                <w:szCs w:val="24"/>
              </w:rPr>
            </w:pPr>
            <w:r>
              <w:rPr>
                <w:sz w:val="24"/>
                <w:szCs w:val="24"/>
              </w:rPr>
              <w:t>639,64</w:t>
            </w:r>
          </w:p>
        </w:tc>
      </w:tr>
    </w:tbl>
    <w:p w:rsidR="001D69BA" w:rsidRDefault="001D69BA" w:rsidP="001D69BA">
      <w:pPr>
        <w:rPr>
          <w:rFonts w:ascii="Times New Roman" w:eastAsia="Times New Roman" w:hAnsi="Times New Roman" w:cs="Times New Roman"/>
        </w:rPr>
      </w:pPr>
    </w:p>
    <w:p w:rsidR="001D69BA" w:rsidRPr="009956C9" w:rsidRDefault="001D69BA" w:rsidP="001D69BA">
      <w:pPr>
        <w:pStyle w:val="Tablecaption0"/>
        <w:spacing w:before="120" w:after="120" w:line="300" w:lineRule="auto"/>
        <w:ind w:left="346"/>
        <w:rPr>
          <w:sz w:val="24"/>
          <w:szCs w:val="24"/>
        </w:rPr>
      </w:pPr>
      <w:r w:rsidRPr="009956C9">
        <w:rPr>
          <w:sz w:val="24"/>
          <w:szCs w:val="24"/>
        </w:rPr>
        <w:t xml:space="preserve">• Transporto sąnaudos </w:t>
      </w:r>
      <w:r>
        <w:rPr>
          <w:sz w:val="24"/>
          <w:szCs w:val="24"/>
        </w:rPr>
        <w:t>452,88</w:t>
      </w:r>
      <w:r w:rsidRPr="009956C9">
        <w:rPr>
          <w:sz w:val="24"/>
          <w:szCs w:val="24"/>
        </w:rPr>
        <w:t xml:space="preserve"> </w:t>
      </w:r>
      <w:proofErr w:type="spellStart"/>
      <w:r w:rsidRPr="009956C9">
        <w:rPr>
          <w:sz w:val="24"/>
          <w:szCs w:val="24"/>
        </w:rPr>
        <w:t>Eur</w:t>
      </w:r>
      <w:proofErr w:type="spellEnd"/>
      <w:r w:rsidRPr="009956C9">
        <w:rPr>
          <w:sz w:val="24"/>
          <w:szCs w:val="24"/>
        </w:rPr>
        <w:t>:</w:t>
      </w:r>
    </w:p>
    <w:tbl>
      <w:tblPr>
        <w:tblOverlap w:val="never"/>
        <w:tblW w:w="9739" w:type="dxa"/>
        <w:jc w:val="center"/>
        <w:tblLayout w:type="fixed"/>
        <w:tblCellMar>
          <w:left w:w="10" w:type="dxa"/>
          <w:right w:w="10" w:type="dxa"/>
        </w:tblCellMar>
        <w:tblLook w:val="04A0" w:firstRow="1" w:lastRow="0" w:firstColumn="1" w:lastColumn="0" w:noHBand="0" w:noVBand="1"/>
      </w:tblPr>
      <w:tblGrid>
        <w:gridCol w:w="710"/>
        <w:gridCol w:w="5818"/>
        <w:gridCol w:w="3211"/>
      </w:tblGrid>
      <w:tr w:rsidR="001D69BA" w:rsidRPr="009A0ABB" w:rsidTr="005A6242">
        <w:trPr>
          <w:trHeight w:hRule="exact" w:val="648"/>
          <w:jc w:val="center"/>
        </w:trPr>
        <w:tc>
          <w:tcPr>
            <w:tcW w:w="71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180"/>
            </w:pPr>
            <w:proofErr w:type="spellStart"/>
            <w:r w:rsidRPr="009A0ABB">
              <w:lastRenderedPageBreak/>
              <w:t>Eil</w:t>
            </w:r>
            <w:proofErr w:type="spellEnd"/>
            <w:r w:rsidRPr="009A0ABB">
              <w:t>.</w:t>
            </w:r>
          </w:p>
          <w:p w:rsidR="001D69BA" w:rsidRPr="009A0ABB" w:rsidRDefault="001D69BA" w:rsidP="005A6242">
            <w:pPr>
              <w:pStyle w:val="Other0"/>
              <w:spacing w:before="25" w:after="25"/>
              <w:ind w:firstLine="180"/>
            </w:pPr>
            <w:proofErr w:type="spellStart"/>
            <w:r w:rsidRPr="009A0ABB">
              <w:t>Nr</w:t>
            </w:r>
            <w:proofErr w:type="spellEnd"/>
            <w:r w:rsidRPr="009A0ABB">
              <w:t>.</w:t>
            </w:r>
          </w:p>
        </w:tc>
        <w:tc>
          <w:tcPr>
            <w:tcW w:w="5818"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2440"/>
            </w:pPr>
            <w:r w:rsidRPr="009A0ABB">
              <w:t>Sąnaudos</w:t>
            </w:r>
          </w:p>
        </w:tc>
        <w:tc>
          <w:tcPr>
            <w:tcW w:w="3211"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rsidRPr="009A0ABB">
              <w:t>Suma (</w:t>
            </w:r>
            <w:proofErr w:type="spellStart"/>
            <w:r w:rsidRPr="009A0ABB">
              <w:t>Eur</w:t>
            </w:r>
            <w:proofErr w:type="spellEnd"/>
            <w:r w:rsidRPr="009A0ABB">
              <w:t>)</w:t>
            </w:r>
          </w:p>
        </w:tc>
      </w:tr>
      <w:tr w:rsidR="001D69BA" w:rsidRPr="009A0ABB" w:rsidTr="005A6242">
        <w:trPr>
          <w:trHeight w:hRule="exact" w:val="331"/>
          <w:jc w:val="center"/>
        </w:trPr>
        <w:tc>
          <w:tcPr>
            <w:tcW w:w="71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1.</w:t>
            </w:r>
          </w:p>
        </w:tc>
        <w:tc>
          <w:tcPr>
            <w:tcW w:w="5818"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24"/>
            </w:pPr>
            <w:r w:rsidRPr="009A0ABB">
              <w:t>Kuras</w:t>
            </w:r>
          </w:p>
        </w:tc>
        <w:tc>
          <w:tcPr>
            <w:tcW w:w="3211"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w:t>
            </w:r>
          </w:p>
        </w:tc>
      </w:tr>
      <w:tr w:rsidR="001D69BA" w:rsidRPr="009A0ABB" w:rsidTr="005A6242">
        <w:trPr>
          <w:trHeight w:hRule="exact" w:val="326"/>
          <w:jc w:val="center"/>
        </w:trPr>
        <w:tc>
          <w:tcPr>
            <w:tcW w:w="71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2.</w:t>
            </w:r>
          </w:p>
        </w:tc>
        <w:tc>
          <w:tcPr>
            <w:tcW w:w="5818"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24"/>
            </w:pPr>
            <w:r w:rsidRPr="009A0ABB">
              <w:t>Automobilių atsarginės dalys</w:t>
            </w:r>
          </w:p>
        </w:tc>
        <w:tc>
          <w:tcPr>
            <w:tcW w:w="3211"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rsidRPr="009A0ABB">
              <w:t>-</w:t>
            </w:r>
          </w:p>
        </w:tc>
      </w:tr>
      <w:tr w:rsidR="001D69BA" w:rsidRPr="009A0ABB" w:rsidTr="005A6242">
        <w:trPr>
          <w:trHeight w:hRule="exact" w:val="326"/>
          <w:jc w:val="center"/>
        </w:trPr>
        <w:tc>
          <w:tcPr>
            <w:tcW w:w="71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3.</w:t>
            </w:r>
          </w:p>
        </w:tc>
        <w:tc>
          <w:tcPr>
            <w:tcW w:w="5818"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24"/>
            </w:pPr>
            <w:r w:rsidRPr="009A0ABB">
              <w:t>Transporto nuomos sąnaudos</w:t>
            </w:r>
          </w:p>
        </w:tc>
        <w:tc>
          <w:tcPr>
            <w:tcW w:w="3211"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452,88</w:t>
            </w:r>
          </w:p>
        </w:tc>
      </w:tr>
      <w:tr w:rsidR="001D69BA" w:rsidRPr="009A0ABB" w:rsidTr="005A6242">
        <w:trPr>
          <w:trHeight w:hRule="exact" w:val="336"/>
          <w:jc w:val="center"/>
        </w:trPr>
        <w:tc>
          <w:tcPr>
            <w:tcW w:w="710"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4.</w:t>
            </w:r>
          </w:p>
        </w:tc>
        <w:tc>
          <w:tcPr>
            <w:tcW w:w="5818"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left="124"/>
            </w:pPr>
            <w:r w:rsidRPr="009A0ABB">
              <w:t>Kitos transporto sąnaudos</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rsidRPr="009A0ABB">
              <w:t>-</w:t>
            </w:r>
          </w:p>
        </w:tc>
      </w:tr>
    </w:tbl>
    <w:p w:rsidR="001D69BA" w:rsidRPr="009956C9" w:rsidRDefault="001D69BA" w:rsidP="001D69BA">
      <w:pPr>
        <w:pStyle w:val="Tablecaption0"/>
        <w:spacing w:before="120" w:after="120" w:line="300" w:lineRule="auto"/>
        <w:ind w:left="346"/>
        <w:rPr>
          <w:sz w:val="24"/>
          <w:szCs w:val="24"/>
        </w:rPr>
      </w:pPr>
      <w:r w:rsidRPr="009956C9">
        <w:rPr>
          <w:sz w:val="24"/>
          <w:szCs w:val="24"/>
        </w:rPr>
        <w:t xml:space="preserve">• Sunaudotų atsargų sąnaudos </w:t>
      </w:r>
      <w:r>
        <w:rPr>
          <w:sz w:val="24"/>
          <w:szCs w:val="24"/>
        </w:rPr>
        <w:t>85798,68</w:t>
      </w:r>
      <w:r w:rsidRPr="009956C9">
        <w:rPr>
          <w:sz w:val="24"/>
          <w:szCs w:val="24"/>
        </w:rPr>
        <w:t xml:space="preserve"> </w:t>
      </w:r>
      <w:proofErr w:type="spellStart"/>
      <w:r w:rsidRPr="009956C9">
        <w:rPr>
          <w:sz w:val="24"/>
          <w:szCs w:val="24"/>
        </w:rPr>
        <w:t>Eur</w:t>
      </w:r>
      <w:proofErr w:type="spellEnd"/>
      <w:r w:rsidRPr="009956C9">
        <w:rPr>
          <w:sz w:val="24"/>
          <w:szCs w:val="24"/>
        </w:rPr>
        <w:t>:</w:t>
      </w:r>
    </w:p>
    <w:tbl>
      <w:tblPr>
        <w:tblOverlap w:val="never"/>
        <w:tblW w:w="9930" w:type="dxa"/>
        <w:jc w:val="center"/>
        <w:tblLayout w:type="fixed"/>
        <w:tblCellMar>
          <w:left w:w="10" w:type="dxa"/>
          <w:right w:w="10" w:type="dxa"/>
        </w:tblCellMar>
        <w:tblLook w:val="04A0" w:firstRow="1" w:lastRow="0" w:firstColumn="1" w:lastColumn="0" w:noHBand="0" w:noVBand="1"/>
      </w:tblPr>
      <w:tblGrid>
        <w:gridCol w:w="710"/>
        <w:gridCol w:w="6014"/>
        <w:gridCol w:w="3206"/>
      </w:tblGrid>
      <w:tr w:rsidR="001D69BA" w:rsidRPr="009A0ABB" w:rsidTr="005A6242">
        <w:trPr>
          <w:trHeight w:hRule="exact" w:val="648"/>
          <w:jc w:val="center"/>
        </w:trPr>
        <w:tc>
          <w:tcPr>
            <w:tcW w:w="71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180"/>
            </w:pPr>
            <w:proofErr w:type="spellStart"/>
            <w:r w:rsidRPr="009A0ABB">
              <w:t>Eil</w:t>
            </w:r>
            <w:proofErr w:type="spellEnd"/>
            <w:r w:rsidRPr="009A0ABB">
              <w:t>.</w:t>
            </w:r>
          </w:p>
          <w:p w:rsidR="001D69BA" w:rsidRPr="009A0ABB" w:rsidRDefault="001D69BA" w:rsidP="005A6242">
            <w:pPr>
              <w:pStyle w:val="Other0"/>
              <w:spacing w:before="25" w:after="25"/>
              <w:ind w:firstLine="180"/>
            </w:pPr>
            <w:proofErr w:type="spellStart"/>
            <w:r w:rsidRPr="009A0ABB">
              <w:t>Nr</w:t>
            </w:r>
            <w:proofErr w:type="spellEnd"/>
            <w:r w:rsidRPr="009A0ABB">
              <w:t>.</w:t>
            </w:r>
          </w:p>
        </w:tc>
        <w:tc>
          <w:tcPr>
            <w:tcW w:w="6014"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jc w:val="center"/>
            </w:pPr>
            <w:r w:rsidRPr="009A0ABB">
              <w:t>Sąnaudos</w:t>
            </w:r>
          </w:p>
        </w:tc>
        <w:tc>
          <w:tcPr>
            <w:tcW w:w="3206"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rsidRPr="009A0ABB">
              <w:t>Suma (</w:t>
            </w:r>
            <w:proofErr w:type="spellStart"/>
            <w:r w:rsidRPr="009A0ABB">
              <w:t>Eur</w:t>
            </w:r>
            <w:proofErr w:type="spellEnd"/>
            <w:r w:rsidRPr="009A0ABB">
              <w:t>)</w:t>
            </w:r>
          </w:p>
        </w:tc>
      </w:tr>
      <w:tr w:rsidR="001D69BA" w:rsidRPr="009A0ABB" w:rsidTr="005A6242">
        <w:trPr>
          <w:trHeight w:hRule="exact" w:val="331"/>
          <w:jc w:val="center"/>
        </w:trPr>
        <w:tc>
          <w:tcPr>
            <w:tcW w:w="71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1.</w:t>
            </w:r>
          </w:p>
        </w:tc>
        <w:tc>
          <w:tcPr>
            <w:tcW w:w="6014"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24"/>
            </w:pPr>
            <w:r w:rsidRPr="009A0ABB">
              <w:t>Kitas kuras</w:t>
            </w:r>
          </w:p>
        </w:tc>
        <w:tc>
          <w:tcPr>
            <w:tcW w:w="3206"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0,00</w:t>
            </w:r>
          </w:p>
        </w:tc>
      </w:tr>
      <w:tr w:rsidR="001D69BA" w:rsidRPr="009A0ABB" w:rsidTr="005A6242">
        <w:trPr>
          <w:trHeight w:hRule="exact" w:val="288"/>
          <w:jc w:val="center"/>
        </w:trPr>
        <w:tc>
          <w:tcPr>
            <w:tcW w:w="71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2.</w:t>
            </w:r>
          </w:p>
        </w:tc>
        <w:tc>
          <w:tcPr>
            <w:tcW w:w="6014"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124"/>
            </w:pPr>
            <w:r w:rsidRPr="009A0ABB">
              <w:t>Medikamentai</w:t>
            </w:r>
          </w:p>
        </w:tc>
        <w:tc>
          <w:tcPr>
            <w:tcW w:w="3206"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154,96</w:t>
            </w:r>
          </w:p>
        </w:tc>
      </w:tr>
      <w:tr w:rsidR="001D69BA" w:rsidRPr="009A0ABB" w:rsidTr="005A6242">
        <w:trPr>
          <w:trHeight w:hRule="exact" w:val="283"/>
          <w:jc w:val="center"/>
        </w:trPr>
        <w:tc>
          <w:tcPr>
            <w:tcW w:w="71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3.</w:t>
            </w:r>
          </w:p>
        </w:tc>
        <w:tc>
          <w:tcPr>
            <w:tcW w:w="6014"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124"/>
            </w:pPr>
            <w:r w:rsidRPr="009A0ABB">
              <w:t>Kompiuterių atsarginės dalys</w:t>
            </w:r>
          </w:p>
        </w:tc>
        <w:tc>
          <w:tcPr>
            <w:tcW w:w="3206"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1279,40</w:t>
            </w:r>
          </w:p>
        </w:tc>
      </w:tr>
      <w:tr w:rsidR="001D69BA" w:rsidRPr="009A0ABB" w:rsidTr="005A6242">
        <w:trPr>
          <w:trHeight w:hRule="exact" w:val="283"/>
          <w:jc w:val="center"/>
        </w:trPr>
        <w:tc>
          <w:tcPr>
            <w:tcW w:w="71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4.</w:t>
            </w:r>
          </w:p>
        </w:tc>
        <w:tc>
          <w:tcPr>
            <w:tcW w:w="6014"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124"/>
            </w:pPr>
            <w:r w:rsidRPr="009A0ABB">
              <w:t>Kanceliarinės prekės</w:t>
            </w:r>
          </w:p>
        </w:tc>
        <w:tc>
          <w:tcPr>
            <w:tcW w:w="3206"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1571,53</w:t>
            </w:r>
          </w:p>
        </w:tc>
      </w:tr>
      <w:tr w:rsidR="001D69BA" w:rsidRPr="009A0ABB" w:rsidTr="005A6242">
        <w:trPr>
          <w:trHeight w:hRule="exact" w:val="288"/>
          <w:jc w:val="center"/>
        </w:trPr>
        <w:tc>
          <w:tcPr>
            <w:tcW w:w="71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5.</w:t>
            </w:r>
          </w:p>
        </w:tc>
        <w:tc>
          <w:tcPr>
            <w:tcW w:w="6014"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124"/>
            </w:pPr>
            <w:r w:rsidRPr="009A0ABB">
              <w:t>Valymo prekės</w:t>
            </w:r>
          </w:p>
        </w:tc>
        <w:tc>
          <w:tcPr>
            <w:tcW w:w="3206"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0,00</w:t>
            </w:r>
          </w:p>
        </w:tc>
      </w:tr>
      <w:tr w:rsidR="001D69BA" w:rsidRPr="009A0ABB" w:rsidTr="005A6242">
        <w:trPr>
          <w:trHeight w:hRule="exact" w:val="288"/>
          <w:jc w:val="center"/>
        </w:trPr>
        <w:tc>
          <w:tcPr>
            <w:tcW w:w="71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6.</w:t>
            </w:r>
          </w:p>
        </w:tc>
        <w:tc>
          <w:tcPr>
            <w:tcW w:w="6014"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124"/>
            </w:pPr>
            <w:r w:rsidRPr="009A0ABB">
              <w:t>Maisto produktai</w:t>
            </w:r>
          </w:p>
        </w:tc>
        <w:tc>
          <w:tcPr>
            <w:tcW w:w="3206"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74514,91</w:t>
            </w:r>
          </w:p>
        </w:tc>
      </w:tr>
      <w:tr w:rsidR="001D69BA" w:rsidRPr="009A0ABB" w:rsidTr="005A6242">
        <w:trPr>
          <w:trHeight w:hRule="exact" w:val="283"/>
          <w:jc w:val="center"/>
        </w:trPr>
        <w:tc>
          <w:tcPr>
            <w:tcW w:w="71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7.</w:t>
            </w:r>
          </w:p>
        </w:tc>
        <w:tc>
          <w:tcPr>
            <w:tcW w:w="6014"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124"/>
            </w:pPr>
            <w:r w:rsidRPr="009A0ABB">
              <w:t>Ūkinis inventorius</w:t>
            </w:r>
          </w:p>
        </w:tc>
        <w:tc>
          <w:tcPr>
            <w:tcW w:w="3206"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5276,91</w:t>
            </w:r>
          </w:p>
        </w:tc>
      </w:tr>
      <w:tr w:rsidR="001D69BA" w:rsidRPr="009A0ABB" w:rsidTr="005A6242">
        <w:trPr>
          <w:trHeight w:hRule="exact" w:val="298"/>
          <w:jc w:val="center"/>
        </w:trPr>
        <w:tc>
          <w:tcPr>
            <w:tcW w:w="710"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firstLine="260"/>
            </w:pPr>
            <w:r w:rsidRPr="009A0ABB">
              <w:t>8.</w:t>
            </w:r>
          </w:p>
        </w:tc>
        <w:tc>
          <w:tcPr>
            <w:tcW w:w="6014"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firstLine="124"/>
            </w:pPr>
            <w:proofErr w:type="spellStart"/>
            <w:r w:rsidRPr="009A0ABB">
              <w:t>Kt</w:t>
            </w:r>
            <w:proofErr w:type="spellEnd"/>
            <w:r w:rsidRPr="009A0ABB">
              <w:t>. medžiagos</w:t>
            </w:r>
          </w:p>
        </w:tc>
        <w:tc>
          <w:tcPr>
            <w:tcW w:w="3206"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3000,97</w:t>
            </w:r>
          </w:p>
        </w:tc>
      </w:tr>
    </w:tbl>
    <w:p w:rsidR="001D69BA" w:rsidRPr="009956C9" w:rsidRDefault="001D69BA" w:rsidP="001D69BA">
      <w:pPr>
        <w:pStyle w:val="Tablecaption0"/>
        <w:spacing w:before="120" w:after="120" w:line="300" w:lineRule="auto"/>
        <w:ind w:left="346"/>
        <w:rPr>
          <w:sz w:val="24"/>
          <w:szCs w:val="24"/>
        </w:rPr>
      </w:pPr>
      <w:r w:rsidRPr="009956C9">
        <w:rPr>
          <w:sz w:val="24"/>
          <w:szCs w:val="24"/>
        </w:rPr>
        <w:t xml:space="preserve">• Kitų paslaugų sąnaudos </w:t>
      </w:r>
      <w:r>
        <w:rPr>
          <w:sz w:val="24"/>
          <w:szCs w:val="24"/>
        </w:rPr>
        <w:t>6494,01</w:t>
      </w:r>
      <w:r w:rsidRPr="009956C9">
        <w:rPr>
          <w:sz w:val="24"/>
          <w:szCs w:val="24"/>
        </w:rPr>
        <w:t xml:space="preserve"> </w:t>
      </w:r>
      <w:proofErr w:type="spellStart"/>
      <w:r w:rsidRPr="009956C9">
        <w:rPr>
          <w:sz w:val="24"/>
          <w:szCs w:val="24"/>
        </w:rPr>
        <w:t>Eur</w:t>
      </w:r>
      <w:proofErr w:type="spellEnd"/>
      <w:r w:rsidRPr="009956C9">
        <w:rPr>
          <w:sz w:val="24"/>
          <w:szCs w:val="24"/>
        </w:rPr>
        <w:t xml:space="preserve"> :</w:t>
      </w:r>
    </w:p>
    <w:tbl>
      <w:tblPr>
        <w:tblOverlap w:val="never"/>
        <w:tblW w:w="9739" w:type="dxa"/>
        <w:jc w:val="center"/>
        <w:tblLayout w:type="fixed"/>
        <w:tblCellMar>
          <w:left w:w="10" w:type="dxa"/>
          <w:right w:w="10" w:type="dxa"/>
        </w:tblCellMar>
        <w:tblLook w:val="04A0" w:firstRow="1" w:lastRow="0" w:firstColumn="1" w:lastColumn="0" w:noHBand="0" w:noVBand="1"/>
      </w:tblPr>
      <w:tblGrid>
        <w:gridCol w:w="710"/>
        <w:gridCol w:w="5818"/>
        <w:gridCol w:w="3211"/>
      </w:tblGrid>
      <w:tr w:rsidR="001D69BA" w:rsidRPr="009A0ABB" w:rsidTr="005A6242">
        <w:trPr>
          <w:trHeight w:hRule="exact" w:val="566"/>
          <w:jc w:val="center"/>
        </w:trPr>
        <w:tc>
          <w:tcPr>
            <w:tcW w:w="71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jc w:val="center"/>
            </w:pPr>
            <w:proofErr w:type="spellStart"/>
            <w:r w:rsidRPr="009A0ABB">
              <w:t>Eil</w:t>
            </w:r>
            <w:proofErr w:type="spellEnd"/>
            <w:r w:rsidRPr="009A0ABB">
              <w:t>.</w:t>
            </w:r>
          </w:p>
          <w:p w:rsidR="001D69BA" w:rsidRPr="009A0ABB" w:rsidRDefault="001D69BA" w:rsidP="005A6242">
            <w:pPr>
              <w:pStyle w:val="Other0"/>
              <w:spacing w:before="25" w:after="25"/>
              <w:jc w:val="center"/>
            </w:pPr>
            <w:proofErr w:type="spellStart"/>
            <w:r w:rsidRPr="009A0ABB">
              <w:t>Nr</w:t>
            </w:r>
            <w:proofErr w:type="spellEnd"/>
            <w:r w:rsidRPr="009A0ABB">
              <w:t>.</w:t>
            </w:r>
          </w:p>
        </w:tc>
        <w:tc>
          <w:tcPr>
            <w:tcW w:w="5818"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2440"/>
            </w:pPr>
            <w:r w:rsidRPr="009A0ABB">
              <w:t>Sąnaudos</w:t>
            </w:r>
          </w:p>
        </w:tc>
        <w:tc>
          <w:tcPr>
            <w:tcW w:w="3211"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rsidRPr="009A0ABB">
              <w:t>Suma (</w:t>
            </w:r>
            <w:proofErr w:type="spellStart"/>
            <w:r w:rsidRPr="009A0ABB">
              <w:t>Eur</w:t>
            </w:r>
            <w:proofErr w:type="spellEnd"/>
            <w:r w:rsidRPr="009A0ABB">
              <w:t>)</w:t>
            </w:r>
          </w:p>
        </w:tc>
      </w:tr>
      <w:tr w:rsidR="001D69BA" w:rsidRPr="009A0ABB" w:rsidTr="005A6242">
        <w:trPr>
          <w:trHeight w:hRule="exact" w:val="326"/>
          <w:jc w:val="center"/>
        </w:trPr>
        <w:tc>
          <w:tcPr>
            <w:tcW w:w="710"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jc w:val="center"/>
            </w:pPr>
            <w:r w:rsidRPr="009A0ABB">
              <w:t>1.</w:t>
            </w:r>
          </w:p>
        </w:tc>
        <w:tc>
          <w:tcPr>
            <w:tcW w:w="5818"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24"/>
            </w:pPr>
            <w:r w:rsidRPr="009A0ABB">
              <w:t>Banko paslaugų sąnaudos</w:t>
            </w:r>
          </w:p>
        </w:tc>
        <w:tc>
          <w:tcPr>
            <w:tcW w:w="3211"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497,94</w:t>
            </w:r>
          </w:p>
        </w:tc>
      </w:tr>
      <w:tr w:rsidR="001D69BA" w:rsidRPr="009A0ABB" w:rsidTr="005A6242">
        <w:trPr>
          <w:trHeight w:hRule="exact" w:val="341"/>
          <w:jc w:val="center"/>
        </w:trPr>
        <w:tc>
          <w:tcPr>
            <w:tcW w:w="710"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jc w:val="center"/>
            </w:pPr>
            <w:r w:rsidRPr="009A0ABB">
              <w:t>2.</w:t>
            </w:r>
          </w:p>
        </w:tc>
        <w:tc>
          <w:tcPr>
            <w:tcW w:w="5818"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left="124"/>
            </w:pPr>
            <w:r w:rsidRPr="009A0ABB">
              <w:t>Apsaugos sistemos priežiūros sąnaudos</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437,76</w:t>
            </w:r>
          </w:p>
        </w:tc>
      </w:tr>
      <w:tr w:rsidR="001D69BA" w:rsidRPr="009A0ABB" w:rsidTr="005A6242">
        <w:trPr>
          <w:trHeight w:hRule="exact" w:val="341"/>
          <w:jc w:val="center"/>
        </w:trPr>
        <w:tc>
          <w:tcPr>
            <w:tcW w:w="710"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jc w:val="center"/>
            </w:pPr>
            <w:r w:rsidRPr="009A0ABB">
              <w:t>3.</w:t>
            </w:r>
          </w:p>
        </w:tc>
        <w:tc>
          <w:tcPr>
            <w:tcW w:w="5818"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left="124"/>
            </w:pPr>
            <w:r w:rsidRPr="009A0ABB">
              <w:t>Dezinfekavimo paslaugų sąnaudos</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48,00</w:t>
            </w:r>
          </w:p>
        </w:tc>
      </w:tr>
      <w:tr w:rsidR="001D69BA" w:rsidRPr="009A0ABB" w:rsidTr="005A6242">
        <w:trPr>
          <w:trHeight w:hRule="exact" w:val="341"/>
          <w:jc w:val="center"/>
        </w:trPr>
        <w:tc>
          <w:tcPr>
            <w:tcW w:w="710"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jc w:val="center"/>
            </w:pPr>
            <w:r w:rsidRPr="009A0ABB">
              <w:t>4.</w:t>
            </w:r>
          </w:p>
        </w:tc>
        <w:tc>
          <w:tcPr>
            <w:tcW w:w="5818"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left="124"/>
            </w:pPr>
            <w:r w:rsidRPr="009A0ABB">
              <w:t>Paviršinių nuotekų sąnaudos</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559,04</w:t>
            </w:r>
          </w:p>
        </w:tc>
      </w:tr>
      <w:tr w:rsidR="001D69BA" w:rsidRPr="009A0ABB" w:rsidTr="005A6242">
        <w:trPr>
          <w:trHeight w:hRule="exact" w:val="341"/>
          <w:jc w:val="center"/>
        </w:trPr>
        <w:tc>
          <w:tcPr>
            <w:tcW w:w="710"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jc w:val="center"/>
            </w:pPr>
            <w:r w:rsidRPr="009A0ABB">
              <w:t>5.</w:t>
            </w:r>
          </w:p>
        </w:tc>
        <w:tc>
          <w:tcPr>
            <w:tcW w:w="5818"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left="124"/>
            </w:pPr>
            <w:r>
              <w:t>Maitinimo</w:t>
            </w:r>
            <w:r w:rsidRPr="009A0ABB">
              <w:t xml:space="preserve"> paslaugų sąnaudos</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599,00</w:t>
            </w:r>
          </w:p>
        </w:tc>
      </w:tr>
      <w:tr w:rsidR="001D69BA" w:rsidRPr="009A0ABB" w:rsidTr="005A6242">
        <w:trPr>
          <w:trHeight w:hRule="exact" w:val="341"/>
          <w:jc w:val="center"/>
        </w:trPr>
        <w:tc>
          <w:tcPr>
            <w:tcW w:w="710"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jc w:val="center"/>
            </w:pPr>
            <w:r w:rsidRPr="009A0ABB">
              <w:t>6.</w:t>
            </w:r>
          </w:p>
        </w:tc>
        <w:tc>
          <w:tcPr>
            <w:tcW w:w="5818"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left="124"/>
            </w:pPr>
            <w:r w:rsidRPr="009A0ABB">
              <w:t>Kitų paslaugų sąnaudos (kitos sąnaudos)</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Default="001D69BA" w:rsidP="005A6242">
            <w:pPr>
              <w:pStyle w:val="Other0"/>
              <w:spacing w:before="25" w:after="25"/>
              <w:jc w:val="center"/>
            </w:pPr>
            <w:r>
              <w:t>1020,17</w:t>
            </w:r>
          </w:p>
          <w:p w:rsidR="001D69BA" w:rsidRPr="009A0ABB" w:rsidRDefault="001D69BA" w:rsidP="005A6242">
            <w:pPr>
              <w:pStyle w:val="Other0"/>
              <w:spacing w:before="25" w:after="25"/>
              <w:jc w:val="center"/>
            </w:pPr>
            <w:r>
              <w:t>,,</w:t>
            </w:r>
          </w:p>
        </w:tc>
      </w:tr>
      <w:tr w:rsidR="001D69BA" w:rsidRPr="009A0ABB" w:rsidTr="005A6242">
        <w:trPr>
          <w:trHeight w:hRule="exact" w:val="341"/>
          <w:jc w:val="center"/>
        </w:trPr>
        <w:tc>
          <w:tcPr>
            <w:tcW w:w="710"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jc w:val="center"/>
            </w:pPr>
            <w:r w:rsidRPr="009A0ABB">
              <w:t>7.</w:t>
            </w:r>
          </w:p>
        </w:tc>
        <w:tc>
          <w:tcPr>
            <w:tcW w:w="5818"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left="124"/>
            </w:pPr>
            <w:r w:rsidRPr="009A0ABB">
              <w:t>Internetinės svetainės priežiūros paslaugų sąnaudos</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449,52</w:t>
            </w:r>
          </w:p>
        </w:tc>
      </w:tr>
      <w:tr w:rsidR="001D69BA" w:rsidRPr="009A0ABB" w:rsidTr="005A6242">
        <w:trPr>
          <w:trHeight w:hRule="exact" w:val="341"/>
          <w:jc w:val="center"/>
        </w:trPr>
        <w:tc>
          <w:tcPr>
            <w:tcW w:w="710"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jc w:val="center"/>
            </w:pPr>
            <w:r w:rsidRPr="009A0ABB">
              <w:t>8.</w:t>
            </w:r>
          </w:p>
        </w:tc>
        <w:tc>
          <w:tcPr>
            <w:tcW w:w="5818"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left="124"/>
            </w:pPr>
            <w:r>
              <w:t>Salės nuomos</w:t>
            </w:r>
            <w:r w:rsidRPr="009A0ABB">
              <w:t xml:space="preserve"> sąnaudos</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544,50</w:t>
            </w:r>
          </w:p>
        </w:tc>
      </w:tr>
      <w:tr w:rsidR="001D69BA" w:rsidRPr="009A0ABB" w:rsidTr="005A6242">
        <w:trPr>
          <w:trHeight w:hRule="exact" w:val="341"/>
          <w:jc w:val="center"/>
        </w:trPr>
        <w:tc>
          <w:tcPr>
            <w:tcW w:w="710"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jc w:val="center"/>
            </w:pPr>
            <w:r w:rsidRPr="009A0ABB">
              <w:t>9.</w:t>
            </w:r>
          </w:p>
        </w:tc>
        <w:tc>
          <w:tcPr>
            <w:tcW w:w="5818"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left="124"/>
            </w:pPr>
            <w:r w:rsidRPr="009A0ABB">
              <w:t>Skalbimo paslaugų sąnaudos</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966,96</w:t>
            </w:r>
          </w:p>
        </w:tc>
      </w:tr>
      <w:tr w:rsidR="001D69BA" w:rsidRPr="009A0ABB" w:rsidTr="005A6242">
        <w:trPr>
          <w:trHeight w:hRule="exact" w:val="341"/>
          <w:jc w:val="center"/>
        </w:trPr>
        <w:tc>
          <w:tcPr>
            <w:tcW w:w="710"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jc w:val="center"/>
            </w:pPr>
            <w:r w:rsidRPr="009A0ABB">
              <w:t>10.</w:t>
            </w:r>
          </w:p>
        </w:tc>
        <w:tc>
          <w:tcPr>
            <w:tcW w:w="5818"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left="124"/>
            </w:pPr>
            <w:r w:rsidRPr="009A0ABB">
              <w:t>Maisto atliekų utilizavimo paslaugų sąnaudos</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664,29</w:t>
            </w:r>
          </w:p>
        </w:tc>
      </w:tr>
      <w:tr w:rsidR="001D69BA" w:rsidRPr="009A0ABB" w:rsidTr="005A6242">
        <w:trPr>
          <w:trHeight w:hRule="exact" w:val="341"/>
          <w:jc w:val="center"/>
        </w:trPr>
        <w:tc>
          <w:tcPr>
            <w:tcW w:w="710"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jc w:val="center"/>
            </w:pPr>
            <w:r w:rsidRPr="009A0ABB">
              <w:t>11.</w:t>
            </w:r>
          </w:p>
        </w:tc>
        <w:tc>
          <w:tcPr>
            <w:tcW w:w="5818"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left="124"/>
            </w:pPr>
            <w:r w:rsidRPr="009A0ABB">
              <w:t>Technikos remonto/patikros paslaugų sąnaudos</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173,22</w:t>
            </w:r>
          </w:p>
        </w:tc>
      </w:tr>
      <w:tr w:rsidR="001D69BA" w:rsidRPr="009A0ABB" w:rsidTr="005A6242">
        <w:trPr>
          <w:trHeight w:hRule="exact" w:val="341"/>
          <w:jc w:val="center"/>
        </w:trPr>
        <w:tc>
          <w:tcPr>
            <w:tcW w:w="710"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jc w:val="center"/>
            </w:pPr>
            <w:r>
              <w:t>12.</w:t>
            </w:r>
          </w:p>
        </w:tc>
        <w:tc>
          <w:tcPr>
            <w:tcW w:w="5818"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left="124"/>
            </w:pPr>
            <w:r>
              <w:t>Kilimėlių nuomos sąnaudos</w:t>
            </w:r>
          </w:p>
        </w:tc>
        <w:tc>
          <w:tcPr>
            <w:tcW w:w="3211"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Default="001D69BA" w:rsidP="005A6242">
            <w:pPr>
              <w:pStyle w:val="Other0"/>
              <w:spacing w:before="25" w:after="25"/>
              <w:jc w:val="center"/>
            </w:pPr>
            <w:r>
              <w:t>533,61</w:t>
            </w:r>
          </w:p>
        </w:tc>
      </w:tr>
    </w:tbl>
    <w:p w:rsidR="001D69BA" w:rsidRDefault="001D69BA" w:rsidP="001D69BA">
      <w:pPr>
        <w:pStyle w:val="Pagrindinistekstas"/>
        <w:spacing w:before="120" w:after="120" w:line="300" w:lineRule="auto"/>
        <w:ind w:firstLine="380"/>
        <w:jc w:val="both"/>
        <w:rPr>
          <w:sz w:val="24"/>
          <w:szCs w:val="24"/>
        </w:rPr>
      </w:pPr>
      <w:r w:rsidRPr="009956C9">
        <w:rPr>
          <w:sz w:val="24"/>
          <w:szCs w:val="24"/>
        </w:rPr>
        <w:t xml:space="preserve">• Kitos sąnaudos. Ataskaitinio laikotarpio pabaigai kitos sąnaudos sudaro 0,00 </w:t>
      </w:r>
      <w:proofErr w:type="spellStart"/>
      <w:r w:rsidRPr="009956C9">
        <w:rPr>
          <w:sz w:val="24"/>
          <w:szCs w:val="24"/>
        </w:rPr>
        <w:t>Eur</w:t>
      </w:r>
      <w:proofErr w:type="spellEnd"/>
      <w:r w:rsidRPr="009956C9">
        <w:rPr>
          <w:sz w:val="24"/>
          <w:szCs w:val="24"/>
        </w:rPr>
        <w:t>.</w:t>
      </w:r>
    </w:p>
    <w:p w:rsidR="001D69BA" w:rsidRPr="009A0ABB" w:rsidRDefault="001D69BA" w:rsidP="001D69BA">
      <w:pPr>
        <w:pStyle w:val="Pagrindinistekstas"/>
        <w:tabs>
          <w:tab w:val="left" w:pos="478"/>
        </w:tabs>
        <w:spacing w:before="120" w:after="120" w:line="300" w:lineRule="auto"/>
        <w:rPr>
          <w:b/>
          <w:sz w:val="24"/>
          <w:szCs w:val="24"/>
        </w:rPr>
      </w:pPr>
      <w:r w:rsidRPr="009A0ABB">
        <w:rPr>
          <w:b/>
          <w:sz w:val="24"/>
          <w:szCs w:val="24"/>
        </w:rPr>
        <w:t xml:space="preserve">Finansavimo pajamos </w:t>
      </w:r>
      <w:r>
        <w:rPr>
          <w:b/>
          <w:sz w:val="24"/>
          <w:szCs w:val="24"/>
        </w:rPr>
        <w:t>915375,30</w:t>
      </w:r>
      <w:r w:rsidRPr="009A0ABB">
        <w:rPr>
          <w:b/>
          <w:sz w:val="24"/>
          <w:szCs w:val="24"/>
        </w:rPr>
        <w:t xml:space="preserve"> </w:t>
      </w:r>
      <w:proofErr w:type="spellStart"/>
      <w:r w:rsidRPr="009A0ABB">
        <w:rPr>
          <w:b/>
          <w:sz w:val="24"/>
          <w:szCs w:val="24"/>
        </w:rPr>
        <w:t>Eur</w:t>
      </w:r>
      <w:proofErr w:type="spellEnd"/>
      <w:r w:rsidRPr="009A0ABB">
        <w:rPr>
          <w:b/>
          <w:sz w:val="24"/>
          <w:szCs w:val="24"/>
        </w:rPr>
        <w:t>, iš jų:</w:t>
      </w:r>
    </w:p>
    <w:tbl>
      <w:tblPr>
        <w:tblOverlap w:val="never"/>
        <w:tblW w:w="9869" w:type="dxa"/>
        <w:jc w:val="center"/>
        <w:tblLayout w:type="fixed"/>
        <w:tblCellMar>
          <w:left w:w="10" w:type="dxa"/>
          <w:right w:w="10" w:type="dxa"/>
        </w:tblCellMar>
        <w:tblLook w:val="04A0" w:firstRow="1" w:lastRow="0" w:firstColumn="1" w:lastColumn="0" w:noHBand="0" w:noVBand="1"/>
      </w:tblPr>
      <w:tblGrid>
        <w:gridCol w:w="701"/>
        <w:gridCol w:w="6665"/>
        <w:gridCol w:w="2503"/>
      </w:tblGrid>
      <w:tr w:rsidR="001D69BA" w:rsidRPr="009A0ABB" w:rsidTr="005A6242">
        <w:trPr>
          <w:trHeight w:hRule="exact" w:val="571"/>
          <w:jc w:val="center"/>
        </w:trPr>
        <w:tc>
          <w:tcPr>
            <w:tcW w:w="701"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jc w:val="center"/>
            </w:pPr>
            <w:bookmarkStart w:id="36" w:name="bookmark15"/>
            <w:bookmarkEnd w:id="36"/>
            <w:proofErr w:type="spellStart"/>
            <w:r w:rsidRPr="009A0ABB">
              <w:t>Eil</w:t>
            </w:r>
            <w:proofErr w:type="spellEnd"/>
            <w:r w:rsidRPr="009A0ABB">
              <w:t>.</w:t>
            </w:r>
          </w:p>
          <w:p w:rsidR="001D69BA" w:rsidRPr="009A0ABB" w:rsidRDefault="001D69BA" w:rsidP="005A6242">
            <w:pPr>
              <w:pStyle w:val="Other0"/>
              <w:spacing w:before="25" w:after="25"/>
              <w:jc w:val="center"/>
            </w:pPr>
            <w:proofErr w:type="spellStart"/>
            <w:r w:rsidRPr="009A0ABB">
              <w:t>Nr</w:t>
            </w:r>
            <w:proofErr w:type="spellEnd"/>
            <w:r w:rsidRPr="009A0ABB">
              <w:t>.</w:t>
            </w:r>
          </w:p>
        </w:tc>
        <w:tc>
          <w:tcPr>
            <w:tcW w:w="6665"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1900"/>
            </w:pPr>
            <w:r w:rsidRPr="009A0ABB">
              <w:t>Finansavimo pajamos</w:t>
            </w:r>
          </w:p>
        </w:tc>
        <w:tc>
          <w:tcPr>
            <w:tcW w:w="2503"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rsidRPr="009A0ABB">
              <w:t>Suma (</w:t>
            </w:r>
            <w:proofErr w:type="spellStart"/>
            <w:r w:rsidRPr="009A0ABB">
              <w:t>Eur</w:t>
            </w:r>
            <w:proofErr w:type="spellEnd"/>
            <w:r w:rsidRPr="009A0ABB">
              <w:t>)</w:t>
            </w:r>
          </w:p>
        </w:tc>
      </w:tr>
      <w:tr w:rsidR="001D69BA" w:rsidRPr="009A0ABB" w:rsidTr="005A6242">
        <w:trPr>
          <w:trHeight w:hRule="exact" w:val="283"/>
          <w:jc w:val="center"/>
        </w:trPr>
        <w:tc>
          <w:tcPr>
            <w:tcW w:w="701"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right="-18"/>
              <w:jc w:val="center"/>
            </w:pPr>
            <w:r w:rsidRPr="009A0ABB">
              <w:t>1.</w:t>
            </w:r>
          </w:p>
        </w:tc>
        <w:tc>
          <w:tcPr>
            <w:tcW w:w="6665"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78"/>
              <w:jc w:val="both"/>
            </w:pPr>
            <w:r w:rsidRPr="009A0ABB">
              <w:t>Iš valstybės biudžeto, iš jų:</w:t>
            </w:r>
          </w:p>
        </w:tc>
        <w:tc>
          <w:tcPr>
            <w:tcW w:w="2503"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pPr>
            <w:r>
              <w:t>507173,58</w:t>
            </w:r>
          </w:p>
        </w:tc>
      </w:tr>
      <w:tr w:rsidR="001D69BA" w:rsidRPr="009A0ABB" w:rsidTr="005A6242">
        <w:trPr>
          <w:trHeight w:hRule="exact" w:val="283"/>
          <w:jc w:val="center"/>
        </w:trPr>
        <w:tc>
          <w:tcPr>
            <w:tcW w:w="701"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right="-18"/>
              <w:jc w:val="center"/>
            </w:pPr>
            <w:r w:rsidRPr="009A0ABB">
              <w:t>1.1.</w:t>
            </w:r>
          </w:p>
        </w:tc>
        <w:tc>
          <w:tcPr>
            <w:tcW w:w="6665"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278" w:firstLine="278"/>
              <w:jc w:val="both"/>
            </w:pPr>
            <w:r w:rsidRPr="009A0ABB">
              <w:t>panaudotų finansavimo sumų nepiniginiam turtui įsigyti</w:t>
            </w:r>
          </w:p>
        </w:tc>
        <w:tc>
          <w:tcPr>
            <w:tcW w:w="2503"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ind w:firstLine="700"/>
            </w:pPr>
            <w:r>
              <w:t>28166,14</w:t>
            </w:r>
          </w:p>
        </w:tc>
      </w:tr>
      <w:tr w:rsidR="001D69BA" w:rsidRPr="009A0ABB" w:rsidTr="005A6242">
        <w:trPr>
          <w:trHeight w:hRule="exact" w:val="268"/>
          <w:jc w:val="center"/>
        </w:trPr>
        <w:tc>
          <w:tcPr>
            <w:tcW w:w="701"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right="-18"/>
              <w:jc w:val="center"/>
            </w:pPr>
            <w:r w:rsidRPr="009A0ABB">
              <w:t>1.2.</w:t>
            </w:r>
          </w:p>
        </w:tc>
        <w:tc>
          <w:tcPr>
            <w:tcW w:w="6665"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278" w:firstLine="278"/>
              <w:jc w:val="both"/>
            </w:pPr>
            <w:r w:rsidRPr="009A0ABB">
              <w:t>panaudotų finansavimo sumų kitoms išlaidoms kompensuoti</w:t>
            </w:r>
          </w:p>
        </w:tc>
        <w:tc>
          <w:tcPr>
            <w:tcW w:w="2503"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spacing w:before="25" w:after="25"/>
              <w:jc w:val="center"/>
              <w:rPr>
                <w:rFonts w:ascii="Times New Roman" w:hAnsi="Times New Roman" w:cs="Times New Roman"/>
                <w:sz w:val="22"/>
                <w:szCs w:val="22"/>
              </w:rPr>
            </w:pPr>
            <w:r>
              <w:rPr>
                <w:rFonts w:ascii="Times New Roman" w:hAnsi="Times New Roman" w:cs="Times New Roman"/>
                <w:sz w:val="22"/>
                <w:szCs w:val="22"/>
              </w:rPr>
              <w:t>479007,44</w:t>
            </w:r>
          </w:p>
        </w:tc>
      </w:tr>
      <w:tr w:rsidR="001D69BA" w:rsidRPr="009A0ABB" w:rsidTr="005A6242">
        <w:trPr>
          <w:trHeight w:hRule="exact" w:val="288"/>
          <w:jc w:val="center"/>
        </w:trPr>
        <w:tc>
          <w:tcPr>
            <w:tcW w:w="701"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right="-18"/>
              <w:jc w:val="center"/>
            </w:pPr>
            <w:r w:rsidRPr="009A0ABB">
              <w:t>2.</w:t>
            </w:r>
          </w:p>
        </w:tc>
        <w:tc>
          <w:tcPr>
            <w:tcW w:w="6665"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78"/>
              <w:jc w:val="both"/>
            </w:pPr>
            <w:r w:rsidRPr="009A0ABB">
              <w:t>Iš savivaldybės biudžeto, iš jų :</w:t>
            </w:r>
          </w:p>
        </w:tc>
        <w:tc>
          <w:tcPr>
            <w:tcW w:w="2503"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pPr>
            <w:r>
              <w:t>403240,95</w:t>
            </w:r>
          </w:p>
        </w:tc>
      </w:tr>
      <w:tr w:rsidR="001D69BA" w:rsidRPr="009A0ABB" w:rsidTr="005A6242">
        <w:trPr>
          <w:trHeight w:hRule="exact" w:val="283"/>
          <w:jc w:val="center"/>
        </w:trPr>
        <w:tc>
          <w:tcPr>
            <w:tcW w:w="701"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right="-18"/>
              <w:jc w:val="center"/>
            </w:pPr>
            <w:r w:rsidRPr="009A0ABB">
              <w:t>2.1.</w:t>
            </w:r>
          </w:p>
        </w:tc>
        <w:tc>
          <w:tcPr>
            <w:tcW w:w="6665"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278" w:firstLine="278"/>
              <w:jc w:val="both"/>
            </w:pPr>
            <w:r w:rsidRPr="009A0ABB">
              <w:t>panaudotų finansavimo sumų nepiniginiam turtui įsigyti</w:t>
            </w:r>
          </w:p>
        </w:tc>
        <w:tc>
          <w:tcPr>
            <w:tcW w:w="2503"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ind w:firstLine="580"/>
            </w:pPr>
            <w:r>
              <w:t>18211,91</w:t>
            </w:r>
          </w:p>
        </w:tc>
      </w:tr>
      <w:tr w:rsidR="001D69BA" w:rsidRPr="009A0ABB" w:rsidTr="005A6242">
        <w:trPr>
          <w:trHeight w:hRule="exact" w:val="566"/>
          <w:jc w:val="center"/>
        </w:trPr>
        <w:tc>
          <w:tcPr>
            <w:tcW w:w="701"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right="-18"/>
              <w:jc w:val="center"/>
            </w:pPr>
            <w:r w:rsidRPr="009A0ABB">
              <w:t>2.2.</w:t>
            </w:r>
          </w:p>
        </w:tc>
        <w:tc>
          <w:tcPr>
            <w:tcW w:w="6665"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278" w:firstLine="278"/>
              <w:jc w:val="both"/>
            </w:pPr>
            <w:r w:rsidRPr="009A0ABB">
              <w:t>panaudotų finansavimo sumų kitoms išlaidoms kompensuoti</w:t>
            </w:r>
          </w:p>
        </w:tc>
        <w:tc>
          <w:tcPr>
            <w:tcW w:w="2503"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385029,04</w:t>
            </w:r>
          </w:p>
        </w:tc>
      </w:tr>
      <w:tr w:rsidR="001D69BA" w:rsidRPr="009A0ABB" w:rsidTr="005A6242">
        <w:trPr>
          <w:trHeight w:hRule="exact" w:val="283"/>
          <w:jc w:val="center"/>
        </w:trPr>
        <w:tc>
          <w:tcPr>
            <w:tcW w:w="701"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right="-18"/>
              <w:jc w:val="center"/>
            </w:pPr>
            <w:r w:rsidRPr="009A0ABB">
              <w:lastRenderedPageBreak/>
              <w:t>3.</w:t>
            </w:r>
          </w:p>
        </w:tc>
        <w:tc>
          <w:tcPr>
            <w:tcW w:w="6665"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78"/>
              <w:jc w:val="both"/>
            </w:pPr>
            <w:r w:rsidRPr="009A0ABB">
              <w:t>Iš Europos sąjungos, iš jų:</w:t>
            </w:r>
          </w:p>
        </w:tc>
        <w:tc>
          <w:tcPr>
            <w:tcW w:w="2503"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spacing w:before="25" w:after="25"/>
              <w:rPr>
                <w:rFonts w:ascii="Times New Roman" w:hAnsi="Times New Roman" w:cs="Times New Roman"/>
                <w:sz w:val="22"/>
                <w:szCs w:val="22"/>
              </w:rPr>
            </w:pPr>
            <w:r>
              <w:rPr>
                <w:rFonts w:ascii="Times New Roman" w:hAnsi="Times New Roman" w:cs="Times New Roman"/>
                <w:sz w:val="22"/>
                <w:szCs w:val="22"/>
              </w:rPr>
              <w:t>0,00</w:t>
            </w:r>
          </w:p>
        </w:tc>
      </w:tr>
      <w:tr w:rsidR="001D69BA" w:rsidRPr="009A0ABB" w:rsidTr="005A6242">
        <w:trPr>
          <w:trHeight w:hRule="exact" w:val="288"/>
          <w:jc w:val="center"/>
        </w:trPr>
        <w:tc>
          <w:tcPr>
            <w:tcW w:w="701"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right="-18"/>
              <w:jc w:val="center"/>
            </w:pPr>
            <w:r w:rsidRPr="009A0ABB">
              <w:t>3.1.</w:t>
            </w:r>
          </w:p>
        </w:tc>
        <w:tc>
          <w:tcPr>
            <w:tcW w:w="6665"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278" w:firstLine="278"/>
              <w:jc w:val="both"/>
            </w:pPr>
            <w:r w:rsidRPr="009A0ABB">
              <w:t>panaudotų finansavimo sumų nepiniginiam turtui įsigyti</w:t>
            </w:r>
          </w:p>
        </w:tc>
        <w:tc>
          <w:tcPr>
            <w:tcW w:w="2503"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spacing w:before="25" w:after="25"/>
              <w:jc w:val="center"/>
              <w:rPr>
                <w:rFonts w:ascii="Times New Roman" w:hAnsi="Times New Roman" w:cs="Times New Roman"/>
                <w:sz w:val="22"/>
                <w:szCs w:val="22"/>
              </w:rPr>
            </w:pPr>
            <w:r>
              <w:rPr>
                <w:rFonts w:ascii="Times New Roman" w:hAnsi="Times New Roman" w:cs="Times New Roman"/>
                <w:sz w:val="22"/>
                <w:szCs w:val="22"/>
              </w:rPr>
              <w:t>0,00</w:t>
            </w:r>
          </w:p>
        </w:tc>
      </w:tr>
      <w:tr w:rsidR="001D69BA" w:rsidRPr="009A0ABB" w:rsidTr="005A6242">
        <w:trPr>
          <w:trHeight w:hRule="exact" w:val="281"/>
          <w:jc w:val="center"/>
        </w:trPr>
        <w:tc>
          <w:tcPr>
            <w:tcW w:w="701"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right="-18"/>
              <w:jc w:val="center"/>
            </w:pPr>
            <w:r w:rsidRPr="009A0ABB">
              <w:t>3.2.</w:t>
            </w:r>
          </w:p>
        </w:tc>
        <w:tc>
          <w:tcPr>
            <w:tcW w:w="6665"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left="278" w:firstLine="278"/>
              <w:jc w:val="both"/>
            </w:pPr>
            <w:r w:rsidRPr="009A0ABB">
              <w:t>panaudotų finansavimo sumų kitoms išlaidoms kompensuoti</w:t>
            </w:r>
          </w:p>
        </w:tc>
        <w:tc>
          <w:tcPr>
            <w:tcW w:w="2503"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spacing w:before="25" w:after="25"/>
              <w:jc w:val="center"/>
              <w:rPr>
                <w:rFonts w:ascii="Times New Roman" w:hAnsi="Times New Roman" w:cs="Times New Roman"/>
                <w:sz w:val="22"/>
                <w:szCs w:val="22"/>
              </w:rPr>
            </w:pPr>
            <w:r>
              <w:rPr>
                <w:rFonts w:ascii="Times New Roman" w:hAnsi="Times New Roman" w:cs="Times New Roman"/>
                <w:sz w:val="22"/>
                <w:szCs w:val="22"/>
              </w:rPr>
              <w:t>0,00</w:t>
            </w:r>
          </w:p>
        </w:tc>
      </w:tr>
      <w:tr w:rsidR="001D69BA" w:rsidRPr="009A0ABB" w:rsidTr="005A6242">
        <w:trPr>
          <w:trHeight w:hRule="exact" w:val="288"/>
          <w:jc w:val="center"/>
        </w:trPr>
        <w:tc>
          <w:tcPr>
            <w:tcW w:w="701"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right="-18"/>
              <w:jc w:val="center"/>
            </w:pPr>
            <w:r w:rsidRPr="009A0ABB">
              <w:t>4.</w:t>
            </w:r>
          </w:p>
        </w:tc>
        <w:tc>
          <w:tcPr>
            <w:tcW w:w="6665"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278"/>
              <w:jc w:val="both"/>
            </w:pPr>
            <w:r w:rsidRPr="009A0ABB">
              <w:t>Iš kitų šaltinių, iš jų:</w:t>
            </w:r>
          </w:p>
        </w:tc>
        <w:tc>
          <w:tcPr>
            <w:tcW w:w="2503"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pPr>
            <w:r>
              <w:t>4960,77</w:t>
            </w:r>
          </w:p>
        </w:tc>
      </w:tr>
      <w:tr w:rsidR="001D69BA" w:rsidRPr="009A0ABB" w:rsidTr="005A6242">
        <w:trPr>
          <w:trHeight w:hRule="exact" w:val="283"/>
          <w:jc w:val="center"/>
        </w:trPr>
        <w:tc>
          <w:tcPr>
            <w:tcW w:w="701"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right="-18"/>
              <w:jc w:val="center"/>
            </w:pPr>
            <w:r w:rsidRPr="009A0ABB">
              <w:t>4.1.</w:t>
            </w:r>
          </w:p>
        </w:tc>
        <w:tc>
          <w:tcPr>
            <w:tcW w:w="6665" w:type="dxa"/>
            <w:tcBorders>
              <w:top w:val="single" w:sz="4" w:space="0" w:color="auto"/>
              <w:left w:val="single" w:sz="4" w:space="0" w:color="auto"/>
            </w:tcBorders>
            <w:shd w:val="clear" w:color="auto" w:fill="FFFFFF"/>
            <w:vAlign w:val="center"/>
          </w:tcPr>
          <w:p w:rsidR="001D69BA" w:rsidRPr="009A0ABB" w:rsidRDefault="001D69BA" w:rsidP="005A6242">
            <w:pPr>
              <w:pStyle w:val="Other0"/>
              <w:spacing w:before="25" w:after="25"/>
              <w:ind w:firstLine="561"/>
              <w:jc w:val="both"/>
            </w:pPr>
            <w:r w:rsidRPr="009A0ABB">
              <w:t>panaudotų finansavimo sumų nepiniginiam turtui įsigyti</w:t>
            </w:r>
          </w:p>
        </w:tc>
        <w:tc>
          <w:tcPr>
            <w:tcW w:w="2503" w:type="dxa"/>
            <w:tcBorders>
              <w:top w:val="single" w:sz="4" w:space="0" w:color="auto"/>
              <w:left w:val="single" w:sz="4" w:space="0" w:color="auto"/>
              <w:right w:val="single" w:sz="4" w:space="0" w:color="auto"/>
            </w:tcBorders>
            <w:shd w:val="clear" w:color="auto" w:fill="FFFFFF"/>
            <w:vAlign w:val="center"/>
          </w:tcPr>
          <w:p w:rsidR="001D69BA" w:rsidRPr="009A0ABB" w:rsidRDefault="001D69BA" w:rsidP="005A6242">
            <w:pPr>
              <w:pStyle w:val="Other0"/>
              <w:spacing w:before="25" w:after="25"/>
              <w:jc w:val="center"/>
            </w:pPr>
            <w:r>
              <w:t>4935,16</w:t>
            </w:r>
          </w:p>
        </w:tc>
      </w:tr>
      <w:tr w:rsidR="001D69BA" w:rsidRPr="009A0ABB" w:rsidTr="005A6242">
        <w:trPr>
          <w:trHeight w:hRule="exact" w:val="571"/>
          <w:jc w:val="center"/>
        </w:trPr>
        <w:tc>
          <w:tcPr>
            <w:tcW w:w="701"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right="-18"/>
              <w:jc w:val="center"/>
            </w:pPr>
            <w:r w:rsidRPr="009A0ABB">
              <w:t>4.2.</w:t>
            </w:r>
          </w:p>
        </w:tc>
        <w:tc>
          <w:tcPr>
            <w:tcW w:w="6665" w:type="dxa"/>
            <w:tcBorders>
              <w:top w:val="single" w:sz="4" w:space="0" w:color="auto"/>
              <w:left w:val="single" w:sz="4" w:space="0" w:color="auto"/>
              <w:bottom w:val="single" w:sz="4" w:space="0" w:color="auto"/>
            </w:tcBorders>
            <w:shd w:val="clear" w:color="auto" w:fill="FFFFFF"/>
            <w:vAlign w:val="center"/>
          </w:tcPr>
          <w:p w:rsidR="001D69BA" w:rsidRPr="009A0ABB" w:rsidRDefault="001D69BA" w:rsidP="005A6242">
            <w:pPr>
              <w:pStyle w:val="Other0"/>
              <w:spacing w:before="25" w:after="25"/>
              <w:ind w:firstLine="561"/>
              <w:jc w:val="both"/>
            </w:pPr>
            <w:r w:rsidRPr="009A0ABB">
              <w:t>panaudotų finansavimo sumų kitoms išlaidoms kompensuoti</w:t>
            </w:r>
          </w:p>
        </w:tc>
        <w:tc>
          <w:tcPr>
            <w:tcW w:w="2503" w:type="dxa"/>
            <w:tcBorders>
              <w:top w:val="single" w:sz="4" w:space="0" w:color="auto"/>
              <w:left w:val="single" w:sz="4" w:space="0" w:color="auto"/>
              <w:bottom w:val="single" w:sz="4" w:space="0" w:color="auto"/>
              <w:right w:val="single" w:sz="4" w:space="0" w:color="auto"/>
            </w:tcBorders>
            <w:shd w:val="clear" w:color="auto" w:fill="FFFFFF"/>
            <w:vAlign w:val="center"/>
          </w:tcPr>
          <w:p w:rsidR="001D69BA" w:rsidRPr="009A0ABB" w:rsidRDefault="001D69BA" w:rsidP="005A6242">
            <w:pPr>
              <w:pStyle w:val="Other0"/>
              <w:tabs>
                <w:tab w:val="left" w:pos="842"/>
              </w:tabs>
              <w:spacing w:before="25" w:after="25"/>
              <w:ind w:firstLine="700"/>
            </w:pPr>
            <w:r>
              <w:t>25,61</w:t>
            </w:r>
          </w:p>
        </w:tc>
      </w:tr>
    </w:tbl>
    <w:p w:rsidR="001D69BA" w:rsidRPr="009956C9" w:rsidRDefault="001D69BA" w:rsidP="001D69BA">
      <w:pPr>
        <w:pStyle w:val="Pagrindinistekstas"/>
        <w:numPr>
          <w:ilvl w:val="0"/>
          <w:numId w:val="3"/>
        </w:numPr>
        <w:tabs>
          <w:tab w:val="left" w:pos="567"/>
        </w:tabs>
        <w:spacing w:before="120" w:after="120" w:line="300" w:lineRule="auto"/>
        <w:rPr>
          <w:sz w:val="24"/>
          <w:szCs w:val="24"/>
        </w:rPr>
      </w:pPr>
      <w:r>
        <w:rPr>
          <w:b/>
          <w:sz w:val="24"/>
          <w:szCs w:val="24"/>
        </w:rPr>
        <w:t>Pastaba</w:t>
      </w:r>
      <w:r w:rsidRPr="00E6782D">
        <w:rPr>
          <w:b/>
          <w:sz w:val="24"/>
          <w:szCs w:val="24"/>
        </w:rPr>
        <w:t xml:space="preserve"> </w:t>
      </w:r>
      <w:proofErr w:type="spellStart"/>
      <w:r w:rsidRPr="009A0ABB">
        <w:rPr>
          <w:b/>
          <w:sz w:val="24"/>
          <w:szCs w:val="24"/>
        </w:rPr>
        <w:t>Nr</w:t>
      </w:r>
      <w:proofErr w:type="spellEnd"/>
      <w:r w:rsidRPr="009A0ABB">
        <w:rPr>
          <w:b/>
          <w:sz w:val="24"/>
          <w:szCs w:val="24"/>
        </w:rPr>
        <w:t xml:space="preserve">. P21. </w:t>
      </w:r>
      <w:r w:rsidRPr="009956C9">
        <w:rPr>
          <w:sz w:val="24"/>
          <w:szCs w:val="24"/>
        </w:rPr>
        <w:t>Pagrindinės veiklos kitos pajamos it kitos veiklos pajamos:</w:t>
      </w:r>
    </w:p>
    <w:p w:rsidR="001D69BA" w:rsidRPr="009956C9" w:rsidRDefault="001D69BA" w:rsidP="001D69BA">
      <w:pPr>
        <w:pStyle w:val="Pagrindinistekstas"/>
        <w:numPr>
          <w:ilvl w:val="0"/>
          <w:numId w:val="5"/>
        </w:numPr>
        <w:tabs>
          <w:tab w:val="left" w:pos="865"/>
        </w:tabs>
        <w:spacing w:before="25" w:after="25" w:line="240" w:lineRule="auto"/>
        <w:ind w:firstLine="380"/>
        <w:rPr>
          <w:sz w:val="24"/>
          <w:szCs w:val="24"/>
        </w:rPr>
      </w:pPr>
      <w:bookmarkStart w:id="37" w:name="bookmark16"/>
      <w:bookmarkEnd w:id="37"/>
      <w:r w:rsidRPr="009956C9">
        <w:rPr>
          <w:sz w:val="24"/>
          <w:szCs w:val="24"/>
        </w:rPr>
        <w:t xml:space="preserve">Įstaigos pagrindinės veiklos kitos pajamos </w:t>
      </w:r>
      <w:r>
        <w:rPr>
          <w:sz w:val="24"/>
          <w:szCs w:val="24"/>
        </w:rPr>
        <w:t>103908,14</w:t>
      </w:r>
      <w:r w:rsidRPr="009956C9">
        <w:rPr>
          <w:sz w:val="24"/>
          <w:szCs w:val="24"/>
        </w:rPr>
        <w:t xml:space="preserve"> </w:t>
      </w:r>
      <w:proofErr w:type="spellStart"/>
      <w:r w:rsidRPr="009956C9">
        <w:rPr>
          <w:sz w:val="24"/>
          <w:szCs w:val="24"/>
        </w:rPr>
        <w:t>Eur</w:t>
      </w:r>
      <w:proofErr w:type="spellEnd"/>
      <w:r w:rsidRPr="009956C9">
        <w:rPr>
          <w:sz w:val="24"/>
          <w:szCs w:val="24"/>
        </w:rPr>
        <w:t>.</w:t>
      </w:r>
    </w:p>
    <w:p w:rsidR="001D69BA" w:rsidRDefault="001D69BA" w:rsidP="001D69BA">
      <w:pPr>
        <w:pStyle w:val="Pagrindinistekstas"/>
        <w:numPr>
          <w:ilvl w:val="0"/>
          <w:numId w:val="5"/>
        </w:numPr>
        <w:tabs>
          <w:tab w:val="left" w:pos="865"/>
        </w:tabs>
        <w:spacing w:before="25" w:after="25" w:line="240" w:lineRule="auto"/>
        <w:ind w:firstLine="380"/>
        <w:jc w:val="both"/>
        <w:rPr>
          <w:sz w:val="24"/>
          <w:szCs w:val="24"/>
        </w:rPr>
      </w:pPr>
      <w:bookmarkStart w:id="38" w:name="bookmark17"/>
      <w:bookmarkEnd w:id="38"/>
      <w:r w:rsidRPr="009956C9">
        <w:rPr>
          <w:sz w:val="24"/>
          <w:szCs w:val="24"/>
        </w:rPr>
        <w:t>Įstaiga neturi kitos veiklos pajamų.</w:t>
      </w:r>
    </w:p>
    <w:p w:rsidR="001D69BA" w:rsidRDefault="001D69BA" w:rsidP="001D69BA">
      <w:pPr>
        <w:pStyle w:val="Pagrindinistekstas"/>
        <w:tabs>
          <w:tab w:val="left" w:pos="865"/>
        </w:tabs>
        <w:spacing w:before="25" w:after="25" w:line="240" w:lineRule="auto"/>
        <w:ind w:left="380"/>
        <w:jc w:val="both"/>
        <w:rPr>
          <w:sz w:val="24"/>
          <w:szCs w:val="24"/>
        </w:rPr>
      </w:pPr>
    </w:p>
    <w:p w:rsidR="001D69BA" w:rsidRPr="001714B7" w:rsidRDefault="001D69BA" w:rsidP="001D69BA">
      <w:pPr>
        <w:spacing w:line="360" w:lineRule="auto"/>
        <w:ind w:firstLine="380"/>
        <w:jc w:val="both"/>
        <w:rPr>
          <w:rFonts w:ascii="Times New Roman" w:hAnsi="Times New Roman" w:cs="Times New Roman"/>
          <w:bCs/>
          <w:sz w:val="22"/>
          <w:szCs w:val="22"/>
        </w:rPr>
      </w:pPr>
      <w:r w:rsidRPr="001714B7">
        <w:rPr>
          <w:rFonts w:ascii="Times New Roman" w:hAnsi="Times New Roman" w:cs="Times New Roman"/>
          <w:bCs/>
          <w:sz w:val="22"/>
          <w:szCs w:val="22"/>
        </w:rPr>
        <w:t>Per ataskaitinį laikotarpį apskaitos politikos keitimo,</w:t>
      </w:r>
      <w:r>
        <w:rPr>
          <w:rFonts w:ascii="Times New Roman" w:hAnsi="Times New Roman" w:cs="Times New Roman"/>
          <w:bCs/>
          <w:sz w:val="22"/>
          <w:szCs w:val="22"/>
        </w:rPr>
        <w:t xml:space="preserve"> </w:t>
      </w:r>
      <w:r w:rsidRPr="001714B7">
        <w:rPr>
          <w:rFonts w:ascii="Times New Roman" w:hAnsi="Times New Roman" w:cs="Times New Roman"/>
          <w:bCs/>
          <w:sz w:val="22"/>
          <w:szCs w:val="22"/>
        </w:rPr>
        <w:t>klaidų taisymo, neapibrėžtų įsipareigojimų, reikšmingų įvykių ir turto pokyčių nebuvo.</w:t>
      </w:r>
      <w:r>
        <w:rPr>
          <w:rFonts w:ascii="Times New Roman" w:hAnsi="Times New Roman" w:cs="Times New Roman"/>
          <w:bCs/>
          <w:sz w:val="22"/>
          <w:szCs w:val="22"/>
        </w:rPr>
        <w:t xml:space="preserve"> </w:t>
      </w:r>
      <w:r w:rsidRPr="001714B7">
        <w:rPr>
          <w:rFonts w:ascii="Times New Roman" w:hAnsi="Times New Roman" w:cs="Times New Roman"/>
          <w:bCs/>
          <w:sz w:val="22"/>
          <w:szCs w:val="22"/>
        </w:rPr>
        <w:t>Neapibrėžtų įsipareigojimų ir neapibrėžtų turto pokyčių per ataskaitinį laikotarpį nebuvo.</w:t>
      </w:r>
      <w:r>
        <w:rPr>
          <w:rFonts w:ascii="Times New Roman" w:hAnsi="Times New Roman" w:cs="Times New Roman"/>
          <w:bCs/>
          <w:sz w:val="22"/>
          <w:szCs w:val="22"/>
        </w:rPr>
        <w:t xml:space="preserve"> </w:t>
      </w:r>
      <w:r w:rsidRPr="001714B7">
        <w:rPr>
          <w:rFonts w:ascii="Times New Roman" w:hAnsi="Times New Roman" w:cs="Times New Roman"/>
          <w:bCs/>
          <w:sz w:val="22"/>
          <w:szCs w:val="22"/>
        </w:rPr>
        <w:t>Sprendimų dėl teisinių ginčų nėra.</w:t>
      </w:r>
      <w:r>
        <w:rPr>
          <w:rFonts w:ascii="Times New Roman" w:hAnsi="Times New Roman" w:cs="Times New Roman"/>
          <w:bCs/>
          <w:sz w:val="22"/>
          <w:szCs w:val="22"/>
        </w:rPr>
        <w:t xml:space="preserve"> </w:t>
      </w:r>
      <w:r w:rsidRPr="001714B7">
        <w:rPr>
          <w:rFonts w:ascii="Times New Roman" w:hAnsi="Times New Roman" w:cs="Times New Roman"/>
          <w:bCs/>
          <w:sz w:val="22"/>
          <w:szCs w:val="22"/>
        </w:rPr>
        <w:t xml:space="preserve">Reikšmingų įvykių po paskutinės tarpinio ataskaitinio laikotarpio dienos nebuvo.       </w:t>
      </w:r>
    </w:p>
    <w:p w:rsidR="001D69BA" w:rsidRPr="009956C9" w:rsidRDefault="001D69BA" w:rsidP="001D69BA">
      <w:pPr>
        <w:pStyle w:val="Pagrindinistekstas"/>
        <w:tabs>
          <w:tab w:val="left" w:pos="865"/>
        </w:tabs>
        <w:spacing w:before="25" w:after="25" w:line="240" w:lineRule="auto"/>
        <w:jc w:val="both"/>
        <w:rPr>
          <w:sz w:val="24"/>
          <w:szCs w:val="24"/>
        </w:rPr>
      </w:pPr>
    </w:p>
    <w:p w:rsidR="001D69BA" w:rsidRDefault="001D69BA" w:rsidP="001D69BA">
      <w:pPr>
        <w:shd w:val="clear" w:color="auto" w:fill="FFFFFF"/>
        <w:spacing w:before="25" w:after="25"/>
        <w:jc w:val="both"/>
        <w:rPr>
          <w:rFonts w:ascii="Times New Roman" w:hAnsi="Times New Roman" w:cs="Times New Roman"/>
        </w:rPr>
      </w:pPr>
    </w:p>
    <w:p w:rsidR="001D69BA" w:rsidRDefault="001D69BA" w:rsidP="001D69BA">
      <w:pPr>
        <w:shd w:val="clear" w:color="auto" w:fill="FFFFFF"/>
        <w:spacing w:before="25" w:after="25"/>
        <w:jc w:val="both"/>
        <w:rPr>
          <w:rFonts w:ascii="Times New Roman" w:hAnsi="Times New Roman" w:cs="Times New Roman"/>
        </w:rPr>
      </w:pPr>
    </w:p>
    <w:p w:rsidR="001D69BA" w:rsidRDefault="001D69BA" w:rsidP="001D69BA">
      <w:pPr>
        <w:shd w:val="clear" w:color="auto" w:fill="FFFFFF"/>
        <w:spacing w:before="25" w:after="25"/>
        <w:jc w:val="both"/>
        <w:rPr>
          <w:rFonts w:ascii="Times New Roman" w:hAnsi="Times New Roman" w:cs="Times New Roman"/>
        </w:rPr>
      </w:pPr>
    </w:p>
    <w:p w:rsidR="001D69BA" w:rsidRPr="009956C9" w:rsidRDefault="001D69BA" w:rsidP="001D69BA">
      <w:pPr>
        <w:shd w:val="clear" w:color="auto" w:fill="FFFFFF"/>
        <w:spacing w:before="25" w:after="25"/>
        <w:jc w:val="both"/>
        <w:rPr>
          <w:rFonts w:ascii="Times New Roman" w:hAnsi="Times New Roman" w:cs="Times New Roman"/>
        </w:rPr>
      </w:pPr>
      <w:r w:rsidRPr="009956C9">
        <w:rPr>
          <w:rFonts w:ascii="Times New Roman" w:hAnsi="Times New Roman" w:cs="Times New Roman"/>
        </w:rPr>
        <w:t xml:space="preserve">Direktorė                                                                                               </w:t>
      </w:r>
      <w:r>
        <w:rPr>
          <w:rFonts w:ascii="Times New Roman" w:hAnsi="Times New Roman" w:cs="Times New Roman"/>
        </w:rPr>
        <w:t>Danguolė Dargienė</w:t>
      </w:r>
    </w:p>
    <w:p w:rsidR="001D69BA" w:rsidRDefault="001D69BA" w:rsidP="001D69BA">
      <w:pPr>
        <w:shd w:val="clear" w:color="auto" w:fill="FFFFFF"/>
        <w:spacing w:before="25" w:after="25"/>
        <w:jc w:val="both"/>
        <w:rPr>
          <w:rFonts w:ascii="Times New Roman" w:hAnsi="Times New Roman" w:cs="Times New Roman"/>
        </w:rPr>
      </w:pPr>
    </w:p>
    <w:p w:rsidR="001D69BA" w:rsidRPr="009956C9" w:rsidRDefault="001D69BA" w:rsidP="001D69BA">
      <w:pPr>
        <w:shd w:val="clear" w:color="auto" w:fill="FFFFFF"/>
        <w:spacing w:before="25" w:after="25"/>
        <w:jc w:val="both"/>
        <w:rPr>
          <w:rFonts w:ascii="Times New Roman" w:hAnsi="Times New Roman" w:cs="Times New Roman"/>
        </w:rPr>
      </w:pPr>
    </w:p>
    <w:p w:rsidR="001D69BA" w:rsidRPr="009956C9" w:rsidRDefault="001D69BA" w:rsidP="001D69BA">
      <w:pPr>
        <w:spacing w:before="25" w:after="25"/>
        <w:jc w:val="both"/>
        <w:rPr>
          <w:rFonts w:ascii="Times New Roman" w:hAnsi="Times New Roman" w:cs="Times New Roman"/>
        </w:rPr>
      </w:pPr>
    </w:p>
    <w:p w:rsidR="001D69BA" w:rsidRPr="009956C9" w:rsidRDefault="001D69BA" w:rsidP="001D69BA">
      <w:pPr>
        <w:spacing w:before="25" w:after="25"/>
        <w:rPr>
          <w:rFonts w:ascii="Times New Roman" w:hAnsi="Times New Roman" w:cs="Times New Roman"/>
          <w:spacing w:val="-2"/>
        </w:rPr>
      </w:pPr>
      <w:r w:rsidRPr="001D69BA">
        <w:rPr>
          <w:rFonts w:ascii="Times New Roman" w:hAnsi="Times New Roman" w:cs="Times New Roman"/>
        </w:rPr>
        <w:t>Šiaulių apskaitos centro</w:t>
      </w:r>
      <w:r w:rsidRPr="001D69BA">
        <w:rPr>
          <w:rFonts w:ascii="Times New Roman" w:hAnsi="Times New Roman" w:cs="Times New Roman"/>
        </w:rPr>
        <w:br/>
        <w:t xml:space="preserve">vyr. buhalterė               </w:t>
      </w:r>
      <w:r w:rsidRPr="001D69BA">
        <w:rPr>
          <w:rFonts w:ascii="Times New Roman" w:hAnsi="Times New Roman" w:cs="Times New Roman"/>
        </w:rPr>
        <w:tab/>
      </w:r>
      <w:r w:rsidRPr="001D69BA">
        <w:rPr>
          <w:rFonts w:ascii="Times New Roman" w:hAnsi="Times New Roman" w:cs="Times New Roman"/>
        </w:rPr>
        <w:tab/>
      </w:r>
      <w:r w:rsidRPr="001D69BA">
        <w:rPr>
          <w:rFonts w:ascii="Times New Roman" w:hAnsi="Times New Roman" w:cs="Times New Roman"/>
        </w:rPr>
        <w:tab/>
      </w:r>
      <w:r w:rsidRPr="001D69BA">
        <w:rPr>
          <w:rFonts w:ascii="Times New Roman" w:hAnsi="Times New Roman" w:cs="Times New Roman"/>
        </w:rPr>
        <w:tab/>
        <w:t xml:space="preserve"> </w:t>
      </w:r>
      <w:r w:rsidRPr="009956C9">
        <w:rPr>
          <w:rFonts w:ascii="Times New Roman" w:hAnsi="Times New Roman" w:cs="Times New Roman"/>
          <w:spacing w:val="-2"/>
        </w:rPr>
        <w:t xml:space="preserve">Stanislava </w:t>
      </w:r>
      <w:proofErr w:type="spellStart"/>
      <w:r w:rsidRPr="009956C9">
        <w:rPr>
          <w:rFonts w:ascii="Times New Roman" w:hAnsi="Times New Roman" w:cs="Times New Roman"/>
          <w:spacing w:val="-2"/>
        </w:rPr>
        <w:t>Vaičiulienė</w:t>
      </w:r>
      <w:proofErr w:type="spellEnd"/>
    </w:p>
    <w:p w:rsidR="001D69BA" w:rsidRPr="009956C9" w:rsidRDefault="001D69BA" w:rsidP="001D69BA">
      <w:pPr>
        <w:pStyle w:val="Pagrindinistekstas"/>
        <w:tabs>
          <w:tab w:val="left" w:pos="865"/>
        </w:tabs>
        <w:spacing w:before="25" w:after="25" w:line="240" w:lineRule="auto"/>
        <w:rPr>
          <w:sz w:val="24"/>
          <w:szCs w:val="24"/>
        </w:rPr>
      </w:pPr>
    </w:p>
    <w:p w:rsidR="001D69BA" w:rsidRPr="009956C9" w:rsidRDefault="001D69BA" w:rsidP="001D69BA">
      <w:pPr>
        <w:pStyle w:val="Pagrindinistekstas"/>
        <w:tabs>
          <w:tab w:val="left" w:pos="865"/>
        </w:tabs>
        <w:spacing w:before="25" w:after="25" w:line="240" w:lineRule="auto"/>
        <w:rPr>
          <w:sz w:val="24"/>
          <w:szCs w:val="24"/>
        </w:rPr>
      </w:pPr>
    </w:p>
    <w:p w:rsidR="001D69BA" w:rsidRDefault="001D69BA" w:rsidP="001D69BA">
      <w:pPr>
        <w:spacing w:before="25" w:after="25"/>
        <w:jc w:val="both"/>
        <w:rPr>
          <w:rFonts w:ascii="Times New Roman" w:hAnsi="Times New Roman" w:cs="Times New Roman"/>
          <w:color w:val="000000" w:themeColor="text1"/>
        </w:rPr>
      </w:pPr>
    </w:p>
    <w:p w:rsidR="001D69BA" w:rsidRDefault="001D69BA" w:rsidP="001D69BA">
      <w:pPr>
        <w:spacing w:before="25" w:after="25"/>
        <w:jc w:val="both"/>
        <w:rPr>
          <w:rFonts w:ascii="Times New Roman" w:hAnsi="Times New Roman" w:cs="Times New Roman"/>
          <w:color w:val="000000" w:themeColor="text1"/>
        </w:rPr>
      </w:pPr>
    </w:p>
    <w:p w:rsidR="001D69BA" w:rsidRDefault="001D69BA" w:rsidP="001D69BA">
      <w:pPr>
        <w:spacing w:before="25" w:after="25"/>
        <w:jc w:val="both"/>
        <w:rPr>
          <w:rFonts w:ascii="Times New Roman" w:hAnsi="Times New Roman" w:cs="Times New Roman"/>
          <w:color w:val="000000" w:themeColor="text1"/>
        </w:rPr>
      </w:pPr>
    </w:p>
    <w:p w:rsidR="001D69BA" w:rsidRDefault="001D69BA" w:rsidP="001D69BA">
      <w:pPr>
        <w:spacing w:before="25" w:after="25"/>
        <w:jc w:val="both"/>
        <w:rPr>
          <w:rFonts w:ascii="Times New Roman" w:hAnsi="Times New Roman" w:cs="Times New Roman"/>
          <w:color w:val="000000" w:themeColor="text1"/>
        </w:rPr>
      </w:pPr>
    </w:p>
    <w:p w:rsidR="001D69BA" w:rsidRDefault="001D69BA" w:rsidP="001D69BA">
      <w:pPr>
        <w:spacing w:before="25" w:after="25"/>
        <w:jc w:val="both"/>
        <w:rPr>
          <w:rFonts w:ascii="Times New Roman" w:hAnsi="Times New Roman" w:cs="Times New Roman"/>
          <w:color w:val="000000" w:themeColor="text1"/>
        </w:rPr>
      </w:pPr>
    </w:p>
    <w:p w:rsidR="001D69BA" w:rsidRDefault="001D69BA" w:rsidP="001D69BA">
      <w:pPr>
        <w:spacing w:before="25" w:after="25"/>
        <w:jc w:val="both"/>
        <w:rPr>
          <w:rFonts w:ascii="Times New Roman" w:hAnsi="Times New Roman" w:cs="Times New Roman"/>
          <w:color w:val="000000" w:themeColor="text1"/>
        </w:rPr>
      </w:pPr>
    </w:p>
    <w:p w:rsidR="001D69BA" w:rsidRDefault="001D69BA" w:rsidP="001D69BA">
      <w:pPr>
        <w:spacing w:before="25" w:after="25"/>
        <w:jc w:val="both"/>
        <w:rPr>
          <w:rFonts w:ascii="Times New Roman" w:hAnsi="Times New Roman" w:cs="Times New Roman"/>
          <w:color w:val="000000" w:themeColor="text1"/>
        </w:rPr>
      </w:pPr>
    </w:p>
    <w:p w:rsidR="001D69BA" w:rsidRDefault="001D69BA" w:rsidP="001D69BA">
      <w:pPr>
        <w:spacing w:before="25" w:after="25"/>
        <w:jc w:val="both"/>
        <w:rPr>
          <w:rFonts w:ascii="Times New Roman" w:hAnsi="Times New Roman" w:cs="Times New Roman"/>
          <w:color w:val="000000" w:themeColor="text1"/>
        </w:rPr>
      </w:pPr>
    </w:p>
    <w:p w:rsidR="001D69BA" w:rsidRPr="004730CB" w:rsidRDefault="001D69BA" w:rsidP="001D69BA">
      <w:pPr>
        <w:spacing w:before="25" w:after="25"/>
        <w:jc w:val="both"/>
        <w:rPr>
          <w:rFonts w:ascii="Times New Roman" w:hAnsi="Times New Roman" w:cs="Times New Roman"/>
          <w:sz w:val="20"/>
        </w:rPr>
      </w:pPr>
      <w:r w:rsidRPr="004730CB">
        <w:rPr>
          <w:rFonts w:ascii="Times New Roman" w:hAnsi="Times New Roman" w:cs="Times New Roman"/>
          <w:color w:val="000000" w:themeColor="text1"/>
          <w:sz w:val="20"/>
        </w:rPr>
        <w:t xml:space="preserve">Parengė: </w:t>
      </w:r>
      <w:r w:rsidRPr="004730CB">
        <w:rPr>
          <w:rFonts w:ascii="Times New Roman" w:hAnsi="Times New Roman" w:cs="Times New Roman"/>
          <w:iCs/>
          <w:color w:val="000000" w:themeColor="text1"/>
          <w:sz w:val="20"/>
        </w:rPr>
        <w:t xml:space="preserve">Jurgita Šimkienė, </w:t>
      </w:r>
      <w:proofErr w:type="spellStart"/>
      <w:r w:rsidRPr="004730CB">
        <w:rPr>
          <w:rFonts w:ascii="Times New Roman" w:hAnsi="Times New Roman" w:cs="Times New Roman"/>
          <w:color w:val="000000" w:themeColor="text1"/>
          <w:sz w:val="20"/>
        </w:rPr>
        <w:t>El</w:t>
      </w:r>
      <w:proofErr w:type="spellEnd"/>
      <w:r w:rsidRPr="004730CB">
        <w:rPr>
          <w:rFonts w:ascii="Times New Roman" w:hAnsi="Times New Roman" w:cs="Times New Roman"/>
          <w:color w:val="000000" w:themeColor="text1"/>
          <w:sz w:val="20"/>
        </w:rPr>
        <w:t xml:space="preserve">. </w:t>
      </w:r>
      <w:proofErr w:type="spellStart"/>
      <w:r w:rsidRPr="004730CB">
        <w:rPr>
          <w:rFonts w:ascii="Times New Roman" w:hAnsi="Times New Roman" w:cs="Times New Roman"/>
          <w:color w:val="000000" w:themeColor="text1"/>
          <w:sz w:val="20"/>
        </w:rPr>
        <w:t>p</w:t>
      </w:r>
      <w:proofErr w:type="spellEnd"/>
      <w:r w:rsidRPr="004730CB">
        <w:rPr>
          <w:rFonts w:ascii="Times New Roman" w:hAnsi="Times New Roman" w:cs="Times New Roman"/>
          <w:color w:val="000000" w:themeColor="text1"/>
          <w:sz w:val="20"/>
        </w:rPr>
        <w:t xml:space="preserve">. </w:t>
      </w:r>
      <w:hyperlink r:id="rId6" w:history="1">
        <w:r w:rsidRPr="004730CB">
          <w:rPr>
            <w:rStyle w:val="Hipersaitas"/>
            <w:rFonts w:ascii="Times New Roman" w:hAnsi="Times New Roman" w:cs="Times New Roman"/>
            <w:iCs/>
            <w:sz w:val="20"/>
          </w:rPr>
          <w:t>jurgita.simkiene@sac.lt</w:t>
        </w:r>
      </w:hyperlink>
    </w:p>
    <w:p w:rsidR="001D69BA" w:rsidRPr="009956C9" w:rsidRDefault="001D69BA" w:rsidP="001D69BA">
      <w:pPr>
        <w:pStyle w:val="Pagrindinistekstas"/>
        <w:tabs>
          <w:tab w:val="left" w:pos="865"/>
        </w:tabs>
        <w:spacing w:before="25" w:after="25" w:line="240" w:lineRule="auto"/>
        <w:rPr>
          <w:sz w:val="24"/>
          <w:szCs w:val="24"/>
        </w:rPr>
      </w:pPr>
    </w:p>
    <w:p w:rsidR="00E956AB" w:rsidRDefault="00E956AB">
      <w:bookmarkStart w:id="39" w:name="_GoBack"/>
      <w:bookmarkEnd w:id="39"/>
    </w:p>
    <w:sectPr w:rsidR="00E956AB" w:rsidSect="00AF0354">
      <w:headerReference w:type="default" r:id="rId7"/>
      <w:footerReference w:type="default" r:id="rId8"/>
      <w:headerReference w:type="first" r:id="rId9"/>
      <w:footerReference w:type="first" r:id="rId10"/>
      <w:pgSz w:w="11900" w:h="16840"/>
      <w:pgMar w:top="1134" w:right="567" w:bottom="1134" w:left="1701" w:header="0" w:footer="6"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1FB" w:rsidRDefault="001D69BA">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1FB" w:rsidRDefault="001D69BA">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1FB" w:rsidRDefault="001D69BA">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1FB" w:rsidRDefault="001D69BA">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398BC34"/>
    <w:name w:val="WW8Num10"/>
    <w:lvl w:ilvl="0">
      <w:start w:val="1"/>
      <w:numFmt w:val="decimal"/>
      <w:lvlText w:val="%1."/>
      <w:lvlJc w:val="left"/>
      <w:pPr>
        <w:ind w:left="0" w:firstLine="0"/>
      </w:pPr>
      <w:rPr>
        <w:rFonts w:ascii="Times New Roman" w:eastAsia="Times New Roman" w:hAnsi="Times New Roman" w:cs="Times New Roman"/>
        <w:strike w:val="0"/>
        <w:dstrike w:val="0"/>
        <w:color w:val="auto"/>
        <w:u w:val="none"/>
        <w:effect w:val="none"/>
      </w:rPr>
    </w:lvl>
    <w:lvl w:ilvl="1">
      <w:start w:val="1"/>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
    <w:nsid w:val="005E5404"/>
    <w:multiLevelType w:val="multilevel"/>
    <w:tmpl w:val="C62064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AE4610"/>
    <w:multiLevelType w:val="hybridMultilevel"/>
    <w:tmpl w:val="B478E746"/>
    <w:lvl w:ilvl="0" w:tplc="0427000F">
      <w:start w:val="1"/>
      <w:numFmt w:val="decimal"/>
      <w:lvlText w:val="%1."/>
      <w:lvlJc w:val="left"/>
      <w:pPr>
        <w:ind w:left="720" w:hanging="72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3">
    <w:nsid w:val="06481EBB"/>
    <w:multiLevelType w:val="multilevel"/>
    <w:tmpl w:val="3F8428F0"/>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A20134"/>
    <w:multiLevelType w:val="multilevel"/>
    <w:tmpl w:val="3E104F82"/>
    <w:lvl w:ilvl="0">
      <w:start w:val="9"/>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308B727D"/>
    <w:multiLevelType w:val="hybridMultilevel"/>
    <w:tmpl w:val="FC98F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E56DE8"/>
    <w:multiLevelType w:val="multilevel"/>
    <w:tmpl w:val="72384F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F6114F"/>
    <w:multiLevelType w:val="multilevel"/>
    <w:tmpl w:val="87C649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4"/>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BA"/>
    <w:rsid w:val="001D69BA"/>
    <w:rsid w:val="00E956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1D69BA"/>
    <w:pPr>
      <w:widowControl w:val="0"/>
      <w:spacing w:after="0" w:line="240" w:lineRule="auto"/>
    </w:pPr>
    <w:rPr>
      <w:rFonts w:ascii="Microsoft Sans Serif" w:eastAsia="Microsoft Sans Serif" w:hAnsi="Microsoft Sans Serif" w:cs="Microsoft Sans Serif"/>
      <w:color w:val="000000"/>
      <w:sz w:val="24"/>
      <w:szCs w:val="24"/>
      <w:lang w:eastAsia="lt-LT" w:bidi="lt-LT"/>
    </w:rPr>
  </w:style>
  <w:style w:type="paragraph" w:styleId="Antrat1">
    <w:name w:val="heading 1"/>
    <w:basedOn w:val="prastasis"/>
    <w:next w:val="prastasis"/>
    <w:link w:val="Antrat1Diagrama"/>
    <w:qFormat/>
    <w:rsid w:val="001D69BA"/>
    <w:pPr>
      <w:keepNext/>
      <w:widowControl/>
      <w:jc w:val="center"/>
      <w:outlineLvl w:val="0"/>
    </w:pPr>
    <w:rPr>
      <w:rFonts w:ascii="Times New Roman" w:eastAsia="Times New Roman" w:hAnsi="Times New Roman" w:cs="Times New Roman"/>
      <w:b/>
      <w:color w:val="auto"/>
      <w:szCs w:val="20"/>
      <w:lang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D69BA"/>
    <w:rPr>
      <w:rFonts w:ascii="Times New Roman" w:eastAsia="Times New Roman" w:hAnsi="Times New Roman" w:cs="Times New Roman"/>
      <w:b/>
      <w:sz w:val="24"/>
      <w:szCs w:val="20"/>
      <w:lang w:eastAsia="lt-LT"/>
    </w:rPr>
  </w:style>
  <w:style w:type="character" w:customStyle="1" w:styleId="Bodytext2">
    <w:name w:val="Body text (2)_"/>
    <w:basedOn w:val="Numatytasispastraiposriftas"/>
    <w:link w:val="Bodytext20"/>
    <w:rsid w:val="001D69BA"/>
    <w:rPr>
      <w:rFonts w:ascii="Times New Roman" w:eastAsia="Times New Roman" w:hAnsi="Times New Roman" w:cs="Times New Roman"/>
      <w:sz w:val="16"/>
      <w:szCs w:val="16"/>
    </w:rPr>
  </w:style>
  <w:style w:type="character" w:customStyle="1" w:styleId="Bodytext3">
    <w:name w:val="Body text (3)_"/>
    <w:basedOn w:val="Numatytasispastraiposriftas"/>
    <w:link w:val="Bodytext30"/>
    <w:rsid w:val="001D69BA"/>
    <w:rPr>
      <w:rFonts w:ascii="Times New Roman" w:eastAsia="Times New Roman" w:hAnsi="Times New Roman" w:cs="Times New Roman"/>
      <w:sz w:val="14"/>
      <w:szCs w:val="14"/>
    </w:rPr>
  </w:style>
  <w:style w:type="character" w:customStyle="1" w:styleId="PagrindinistekstasDiagrama">
    <w:name w:val="Pagrindinis tekstas Diagrama"/>
    <w:basedOn w:val="Numatytasispastraiposriftas"/>
    <w:link w:val="Pagrindinistekstas"/>
    <w:rsid w:val="001D69BA"/>
    <w:rPr>
      <w:rFonts w:ascii="Times New Roman" w:eastAsia="Times New Roman" w:hAnsi="Times New Roman" w:cs="Times New Roman"/>
    </w:rPr>
  </w:style>
  <w:style w:type="character" w:customStyle="1" w:styleId="Bodytext4">
    <w:name w:val="Body text (4)_"/>
    <w:basedOn w:val="Numatytasispastraiposriftas"/>
    <w:link w:val="Bodytext40"/>
    <w:rsid w:val="001D69BA"/>
    <w:rPr>
      <w:rFonts w:ascii="Times New Roman" w:eastAsia="Times New Roman" w:hAnsi="Times New Roman" w:cs="Times New Roman"/>
      <w:b/>
      <w:bCs/>
      <w:sz w:val="18"/>
      <w:szCs w:val="18"/>
    </w:rPr>
  </w:style>
  <w:style w:type="character" w:customStyle="1" w:styleId="Headerorfooter2">
    <w:name w:val="Header or footer (2)_"/>
    <w:basedOn w:val="Numatytasispastraiposriftas"/>
    <w:link w:val="Headerorfooter20"/>
    <w:rsid w:val="001D69BA"/>
    <w:rPr>
      <w:rFonts w:ascii="Times New Roman" w:eastAsia="Times New Roman" w:hAnsi="Times New Roman" w:cs="Times New Roman"/>
      <w:sz w:val="20"/>
      <w:szCs w:val="20"/>
    </w:rPr>
  </w:style>
  <w:style w:type="character" w:customStyle="1" w:styleId="Bodytext5">
    <w:name w:val="Body text (5)_"/>
    <w:basedOn w:val="Numatytasispastraiposriftas"/>
    <w:link w:val="Bodytext50"/>
    <w:rsid w:val="001D69BA"/>
    <w:rPr>
      <w:rFonts w:ascii="Times New Roman" w:eastAsia="Times New Roman" w:hAnsi="Times New Roman" w:cs="Times New Roman"/>
      <w:sz w:val="12"/>
      <w:szCs w:val="12"/>
    </w:rPr>
  </w:style>
  <w:style w:type="character" w:customStyle="1" w:styleId="Tablecaption">
    <w:name w:val="Table caption_"/>
    <w:basedOn w:val="Numatytasispastraiposriftas"/>
    <w:link w:val="Tablecaption0"/>
    <w:rsid w:val="001D69BA"/>
    <w:rPr>
      <w:rFonts w:ascii="Times New Roman" w:eastAsia="Times New Roman" w:hAnsi="Times New Roman" w:cs="Times New Roman"/>
    </w:rPr>
  </w:style>
  <w:style w:type="character" w:customStyle="1" w:styleId="Other">
    <w:name w:val="Other_"/>
    <w:basedOn w:val="Numatytasispastraiposriftas"/>
    <w:link w:val="Other0"/>
    <w:rsid w:val="001D69BA"/>
    <w:rPr>
      <w:rFonts w:ascii="Times New Roman" w:eastAsia="Times New Roman" w:hAnsi="Times New Roman" w:cs="Times New Roman"/>
    </w:rPr>
  </w:style>
  <w:style w:type="character" w:customStyle="1" w:styleId="Bodytext6">
    <w:name w:val="Body text (6)_"/>
    <w:basedOn w:val="Numatytasispastraiposriftas"/>
    <w:link w:val="Bodytext60"/>
    <w:rsid w:val="001D69BA"/>
    <w:rPr>
      <w:rFonts w:ascii="Times New Roman" w:eastAsia="Times New Roman" w:hAnsi="Times New Roman" w:cs="Times New Roman"/>
      <w:sz w:val="10"/>
      <w:szCs w:val="10"/>
    </w:rPr>
  </w:style>
  <w:style w:type="character" w:customStyle="1" w:styleId="Heading1">
    <w:name w:val="Heading #1_"/>
    <w:basedOn w:val="Numatytasispastraiposriftas"/>
    <w:link w:val="Heading10"/>
    <w:rsid w:val="001D69BA"/>
    <w:rPr>
      <w:rFonts w:ascii="Times New Roman" w:eastAsia="Times New Roman" w:hAnsi="Times New Roman" w:cs="Times New Roman"/>
      <w:sz w:val="28"/>
      <w:szCs w:val="28"/>
    </w:rPr>
  </w:style>
  <w:style w:type="paragraph" w:customStyle="1" w:styleId="Bodytext20">
    <w:name w:val="Body text (2)"/>
    <w:basedOn w:val="prastasis"/>
    <w:link w:val="Bodytext2"/>
    <w:rsid w:val="001D69BA"/>
    <w:pPr>
      <w:spacing w:line="295" w:lineRule="auto"/>
    </w:pPr>
    <w:rPr>
      <w:rFonts w:ascii="Times New Roman" w:eastAsia="Times New Roman" w:hAnsi="Times New Roman" w:cs="Times New Roman"/>
      <w:color w:val="auto"/>
      <w:sz w:val="16"/>
      <w:szCs w:val="16"/>
      <w:lang w:eastAsia="en-US" w:bidi="ar-SA"/>
    </w:rPr>
  </w:style>
  <w:style w:type="paragraph" w:customStyle="1" w:styleId="Bodytext30">
    <w:name w:val="Body text (3)"/>
    <w:basedOn w:val="prastasis"/>
    <w:link w:val="Bodytext3"/>
    <w:rsid w:val="001D69BA"/>
    <w:pPr>
      <w:spacing w:line="290" w:lineRule="auto"/>
    </w:pPr>
    <w:rPr>
      <w:rFonts w:ascii="Times New Roman" w:eastAsia="Times New Roman" w:hAnsi="Times New Roman" w:cs="Times New Roman"/>
      <w:color w:val="auto"/>
      <w:sz w:val="14"/>
      <w:szCs w:val="14"/>
      <w:lang w:eastAsia="en-US" w:bidi="ar-SA"/>
    </w:rPr>
  </w:style>
  <w:style w:type="paragraph" w:styleId="Pagrindinistekstas">
    <w:name w:val="Body Text"/>
    <w:basedOn w:val="prastasis"/>
    <w:link w:val="PagrindinistekstasDiagrama"/>
    <w:qFormat/>
    <w:rsid w:val="001D69BA"/>
    <w:pPr>
      <w:spacing w:after="80" w:line="394" w:lineRule="auto"/>
    </w:pPr>
    <w:rPr>
      <w:rFonts w:ascii="Times New Roman" w:eastAsia="Times New Roman" w:hAnsi="Times New Roman" w:cs="Times New Roman"/>
      <w:color w:val="auto"/>
      <w:sz w:val="22"/>
      <w:szCs w:val="22"/>
      <w:lang w:eastAsia="en-US" w:bidi="ar-SA"/>
    </w:rPr>
  </w:style>
  <w:style w:type="character" w:customStyle="1" w:styleId="PagrindinistekstasDiagrama1">
    <w:name w:val="Pagrindinis tekstas Diagrama1"/>
    <w:basedOn w:val="Numatytasispastraiposriftas"/>
    <w:uiPriority w:val="99"/>
    <w:semiHidden/>
    <w:rsid w:val="001D69BA"/>
    <w:rPr>
      <w:rFonts w:ascii="Microsoft Sans Serif" w:eastAsia="Microsoft Sans Serif" w:hAnsi="Microsoft Sans Serif" w:cs="Microsoft Sans Serif"/>
      <w:color w:val="000000"/>
      <w:sz w:val="24"/>
      <w:szCs w:val="24"/>
      <w:lang w:eastAsia="lt-LT" w:bidi="lt-LT"/>
    </w:rPr>
  </w:style>
  <w:style w:type="paragraph" w:customStyle="1" w:styleId="Bodytext40">
    <w:name w:val="Body text (4)"/>
    <w:basedOn w:val="prastasis"/>
    <w:link w:val="Bodytext4"/>
    <w:rsid w:val="001D69BA"/>
    <w:pPr>
      <w:spacing w:after="20" w:line="295" w:lineRule="auto"/>
    </w:pPr>
    <w:rPr>
      <w:rFonts w:ascii="Times New Roman" w:eastAsia="Times New Roman" w:hAnsi="Times New Roman" w:cs="Times New Roman"/>
      <w:b/>
      <w:bCs/>
      <w:color w:val="auto"/>
      <w:sz w:val="18"/>
      <w:szCs w:val="18"/>
      <w:lang w:eastAsia="en-US" w:bidi="ar-SA"/>
    </w:rPr>
  </w:style>
  <w:style w:type="paragraph" w:customStyle="1" w:styleId="Headerorfooter20">
    <w:name w:val="Header or footer (2)"/>
    <w:basedOn w:val="prastasis"/>
    <w:link w:val="Headerorfooter2"/>
    <w:rsid w:val="001D69BA"/>
    <w:rPr>
      <w:rFonts w:ascii="Times New Roman" w:eastAsia="Times New Roman" w:hAnsi="Times New Roman" w:cs="Times New Roman"/>
      <w:color w:val="auto"/>
      <w:sz w:val="20"/>
      <w:szCs w:val="20"/>
      <w:lang w:eastAsia="en-US" w:bidi="ar-SA"/>
    </w:rPr>
  </w:style>
  <w:style w:type="paragraph" w:customStyle="1" w:styleId="Bodytext50">
    <w:name w:val="Body text (5)"/>
    <w:basedOn w:val="prastasis"/>
    <w:link w:val="Bodytext5"/>
    <w:rsid w:val="001D69BA"/>
    <w:pPr>
      <w:spacing w:after="390"/>
      <w:ind w:right="200"/>
      <w:jc w:val="center"/>
    </w:pPr>
    <w:rPr>
      <w:rFonts w:ascii="Times New Roman" w:eastAsia="Times New Roman" w:hAnsi="Times New Roman" w:cs="Times New Roman"/>
      <w:color w:val="auto"/>
      <w:sz w:val="12"/>
      <w:szCs w:val="12"/>
      <w:lang w:eastAsia="en-US" w:bidi="ar-SA"/>
    </w:rPr>
  </w:style>
  <w:style w:type="paragraph" w:customStyle="1" w:styleId="Tablecaption0">
    <w:name w:val="Table caption"/>
    <w:basedOn w:val="prastasis"/>
    <w:link w:val="Tablecaption"/>
    <w:rsid w:val="001D69BA"/>
    <w:rPr>
      <w:rFonts w:ascii="Times New Roman" w:eastAsia="Times New Roman" w:hAnsi="Times New Roman" w:cs="Times New Roman"/>
      <w:color w:val="auto"/>
      <w:sz w:val="22"/>
      <w:szCs w:val="22"/>
      <w:lang w:eastAsia="en-US" w:bidi="ar-SA"/>
    </w:rPr>
  </w:style>
  <w:style w:type="paragraph" w:customStyle="1" w:styleId="Other0">
    <w:name w:val="Other"/>
    <w:basedOn w:val="prastasis"/>
    <w:link w:val="Other"/>
    <w:rsid w:val="001D69BA"/>
    <w:rPr>
      <w:rFonts w:ascii="Times New Roman" w:eastAsia="Times New Roman" w:hAnsi="Times New Roman" w:cs="Times New Roman"/>
      <w:color w:val="auto"/>
      <w:sz w:val="22"/>
      <w:szCs w:val="22"/>
      <w:lang w:eastAsia="en-US" w:bidi="ar-SA"/>
    </w:rPr>
  </w:style>
  <w:style w:type="paragraph" w:customStyle="1" w:styleId="Bodytext60">
    <w:name w:val="Body text (6)"/>
    <w:basedOn w:val="prastasis"/>
    <w:link w:val="Bodytext6"/>
    <w:rsid w:val="001D69BA"/>
    <w:pPr>
      <w:spacing w:after="540"/>
      <w:ind w:left="3260"/>
    </w:pPr>
    <w:rPr>
      <w:rFonts w:ascii="Times New Roman" w:eastAsia="Times New Roman" w:hAnsi="Times New Roman" w:cs="Times New Roman"/>
      <w:color w:val="auto"/>
      <w:sz w:val="10"/>
      <w:szCs w:val="10"/>
      <w:lang w:eastAsia="en-US" w:bidi="ar-SA"/>
    </w:rPr>
  </w:style>
  <w:style w:type="paragraph" w:customStyle="1" w:styleId="Heading10">
    <w:name w:val="Heading #1"/>
    <w:basedOn w:val="prastasis"/>
    <w:link w:val="Heading1"/>
    <w:rsid w:val="001D69BA"/>
    <w:pPr>
      <w:spacing w:after="560"/>
      <w:jc w:val="center"/>
      <w:outlineLvl w:val="0"/>
    </w:pPr>
    <w:rPr>
      <w:rFonts w:ascii="Times New Roman" w:eastAsia="Times New Roman" w:hAnsi="Times New Roman" w:cs="Times New Roman"/>
      <w:color w:val="auto"/>
      <w:sz w:val="28"/>
      <w:szCs w:val="28"/>
      <w:lang w:eastAsia="en-US" w:bidi="ar-SA"/>
    </w:rPr>
  </w:style>
  <w:style w:type="paragraph" w:styleId="Antrats">
    <w:name w:val="header"/>
    <w:basedOn w:val="prastasis"/>
    <w:link w:val="AntratsDiagrama"/>
    <w:uiPriority w:val="99"/>
    <w:unhideWhenUsed/>
    <w:rsid w:val="001D69BA"/>
    <w:pPr>
      <w:tabs>
        <w:tab w:val="center" w:pos="4986"/>
        <w:tab w:val="right" w:pos="9972"/>
      </w:tabs>
    </w:pPr>
  </w:style>
  <w:style w:type="character" w:customStyle="1" w:styleId="AntratsDiagrama">
    <w:name w:val="Antraštės Diagrama"/>
    <w:basedOn w:val="Numatytasispastraiposriftas"/>
    <w:link w:val="Antrats"/>
    <w:uiPriority w:val="99"/>
    <w:rsid w:val="001D69BA"/>
    <w:rPr>
      <w:rFonts w:ascii="Microsoft Sans Serif" w:eastAsia="Microsoft Sans Serif" w:hAnsi="Microsoft Sans Serif" w:cs="Microsoft Sans Serif"/>
      <w:color w:val="000000"/>
      <w:sz w:val="24"/>
      <w:szCs w:val="24"/>
      <w:lang w:eastAsia="lt-LT" w:bidi="lt-LT"/>
    </w:rPr>
  </w:style>
  <w:style w:type="paragraph" w:styleId="Porat">
    <w:name w:val="footer"/>
    <w:basedOn w:val="prastasis"/>
    <w:link w:val="PoratDiagrama"/>
    <w:uiPriority w:val="99"/>
    <w:unhideWhenUsed/>
    <w:rsid w:val="001D69BA"/>
    <w:pPr>
      <w:tabs>
        <w:tab w:val="center" w:pos="4986"/>
        <w:tab w:val="right" w:pos="9972"/>
      </w:tabs>
    </w:pPr>
  </w:style>
  <w:style w:type="character" w:customStyle="1" w:styleId="PoratDiagrama">
    <w:name w:val="Poraštė Diagrama"/>
    <w:basedOn w:val="Numatytasispastraiposriftas"/>
    <w:link w:val="Porat"/>
    <w:uiPriority w:val="99"/>
    <w:rsid w:val="001D69BA"/>
    <w:rPr>
      <w:rFonts w:ascii="Microsoft Sans Serif" w:eastAsia="Microsoft Sans Serif" w:hAnsi="Microsoft Sans Serif" w:cs="Microsoft Sans Serif"/>
      <w:color w:val="000000"/>
      <w:sz w:val="24"/>
      <w:szCs w:val="24"/>
      <w:lang w:eastAsia="lt-LT" w:bidi="lt-LT"/>
    </w:rPr>
  </w:style>
  <w:style w:type="character" w:styleId="Grietas">
    <w:name w:val="Strong"/>
    <w:basedOn w:val="Numatytasispastraiposriftas"/>
    <w:uiPriority w:val="22"/>
    <w:qFormat/>
    <w:rsid w:val="001D69BA"/>
    <w:rPr>
      <w:b/>
      <w:bCs/>
    </w:rPr>
  </w:style>
  <w:style w:type="character" w:styleId="Hipersaitas">
    <w:name w:val="Hyperlink"/>
    <w:rsid w:val="001D69BA"/>
    <w:rPr>
      <w:color w:val="000080"/>
      <w:u w:val="single"/>
    </w:rPr>
  </w:style>
  <w:style w:type="character" w:customStyle="1" w:styleId="UnresolvedMention">
    <w:name w:val="Unresolved Mention"/>
    <w:basedOn w:val="Numatytasispastraiposriftas"/>
    <w:uiPriority w:val="99"/>
    <w:semiHidden/>
    <w:unhideWhenUsed/>
    <w:rsid w:val="001D69BA"/>
    <w:rPr>
      <w:color w:val="605E5C"/>
      <w:shd w:val="clear" w:color="auto" w:fill="E1DFDD"/>
    </w:rPr>
  </w:style>
  <w:style w:type="paragraph" w:styleId="Pagrindiniotekstotrauka">
    <w:name w:val="Body Text Indent"/>
    <w:basedOn w:val="prastasis"/>
    <w:link w:val="PagrindiniotekstotraukaDiagrama"/>
    <w:uiPriority w:val="99"/>
    <w:semiHidden/>
    <w:unhideWhenUsed/>
    <w:rsid w:val="001D69BA"/>
    <w:pPr>
      <w:widowControl/>
      <w:spacing w:after="120"/>
      <w:ind w:left="283"/>
    </w:pPr>
    <w:rPr>
      <w:rFonts w:ascii="Times New Roman" w:eastAsia="Times New Roman" w:hAnsi="Times New Roman" w:cs="Times New Roman"/>
      <w:color w:val="auto"/>
      <w:sz w:val="20"/>
      <w:szCs w:val="20"/>
      <w:lang w:eastAsia="en-US" w:bidi="ar-SA"/>
    </w:rPr>
  </w:style>
  <w:style w:type="character" w:customStyle="1" w:styleId="PagrindiniotekstotraukaDiagrama">
    <w:name w:val="Pagrindinio teksto įtrauka Diagrama"/>
    <w:basedOn w:val="Numatytasispastraiposriftas"/>
    <w:link w:val="Pagrindiniotekstotrauka"/>
    <w:uiPriority w:val="99"/>
    <w:semiHidden/>
    <w:rsid w:val="001D69BA"/>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1D69B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D69BA"/>
    <w:rPr>
      <w:rFonts w:ascii="Segoe UI" w:eastAsia="Microsoft Sans Serif" w:hAnsi="Segoe UI" w:cs="Segoe UI"/>
      <w:color w:val="000000"/>
      <w:sz w:val="18"/>
      <w:szCs w:val="18"/>
      <w:lang w:eastAsia="lt-LT" w:bidi="lt-LT"/>
    </w:rPr>
  </w:style>
  <w:style w:type="paragraph" w:styleId="Sraopastraipa">
    <w:name w:val="List Paragraph"/>
    <w:basedOn w:val="prastasis"/>
    <w:uiPriority w:val="34"/>
    <w:qFormat/>
    <w:rsid w:val="001D69BA"/>
    <w:pPr>
      <w:ind w:left="720"/>
      <w:contextualSpacing/>
    </w:pPr>
  </w:style>
  <w:style w:type="character" w:styleId="Perirtashipersaitas">
    <w:name w:val="FollowedHyperlink"/>
    <w:basedOn w:val="Numatytasispastraiposriftas"/>
    <w:uiPriority w:val="99"/>
    <w:semiHidden/>
    <w:unhideWhenUsed/>
    <w:rsid w:val="001D69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1D69BA"/>
    <w:pPr>
      <w:widowControl w:val="0"/>
      <w:spacing w:after="0" w:line="240" w:lineRule="auto"/>
    </w:pPr>
    <w:rPr>
      <w:rFonts w:ascii="Microsoft Sans Serif" w:eastAsia="Microsoft Sans Serif" w:hAnsi="Microsoft Sans Serif" w:cs="Microsoft Sans Serif"/>
      <w:color w:val="000000"/>
      <w:sz w:val="24"/>
      <w:szCs w:val="24"/>
      <w:lang w:eastAsia="lt-LT" w:bidi="lt-LT"/>
    </w:rPr>
  </w:style>
  <w:style w:type="paragraph" w:styleId="Antrat1">
    <w:name w:val="heading 1"/>
    <w:basedOn w:val="prastasis"/>
    <w:next w:val="prastasis"/>
    <w:link w:val="Antrat1Diagrama"/>
    <w:qFormat/>
    <w:rsid w:val="001D69BA"/>
    <w:pPr>
      <w:keepNext/>
      <w:widowControl/>
      <w:jc w:val="center"/>
      <w:outlineLvl w:val="0"/>
    </w:pPr>
    <w:rPr>
      <w:rFonts w:ascii="Times New Roman" w:eastAsia="Times New Roman" w:hAnsi="Times New Roman" w:cs="Times New Roman"/>
      <w:b/>
      <w:color w:val="auto"/>
      <w:szCs w:val="20"/>
      <w:lang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D69BA"/>
    <w:rPr>
      <w:rFonts w:ascii="Times New Roman" w:eastAsia="Times New Roman" w:hAnsi="Times New Roman" w:cs="Times New Roman"/>
      <w:b/>
      <w:sz w:val="24"/>
      <w:szCs w:val="20"/>
      <w:lang w:eastAsia="lt-LT"/>
    </w:rPr>
  </w:style>
  <w:style w:type="character" w:customStyle="1" w:styleId="Bodytext2">
    <w:name w:val="Body text (2)_"/>
    <w:basedOn w:val="Numatytasispastraiposriftas"/>
    <w:link w:val="Bodytext20"/>
    <w:rsid w:val="001D69BA"/>
    <w:rPr>
      <w:rFonts w:ascii="Times New Roman" w:eastAsia="Times New Roman" w:hAnsi="Times New Roman" w:cs="Times New Roman"/>
      <w:sz w:val="16"/>
      <w:szCs w:val="16"/>
    </w:rPr>
  </w:style>
  <w:style w:type="character" w:customStyle="1" w:styleId="Bodytext3">
    <w:name w:val="Body text (3)_"/>
    <w:basedOn w:val="Numatytasispastraiposriftas"/>
    <w:link w:val="Bodytext30"/>
    <w:rsid w:val="001D69BA"/>
    <w:rPr>
      <w:rFonts w:ascii="Times New Roman" w:eastAsia="Times New Roman" w:hAnsi="Times New Roman" w:cs="Times New Roman"/>
      <w:sz w:val="14"/>
      <w:szCs w:val="14"/>
    </w:rPr>
  </w:style>
  <w:style w:type="character" w:customStyle="1" w:styleId="PagrindinistekstasDiagrama">
    <w:name w:val="Pagrindinis tekstas Diagrama"/>
    <w:basedOn w:val="Numatytasispastraiposriftas"/>
    <w:link w:val="Pagrindinistekstas"/>
    <w:rsid w:val="001D69BA"/>
    <w:rPr>
      <w:rFonts w:ascii="Times New Roman" w:eastAsia="Times New Roman" w:hAnsi="Times New Roman" w:cs="Times New Roman"/>
    </w:rPr>
  </w:style>
  <w:style w:type="character" w:customStyle="1" w:styleId="Bodytext4">
    <w:name w:val="Body text (4)_"/>
    <w:basedOn w:val="Numatytasispastraiposriftas"/>
    <w:link w:val="Bodytext40"/>
    <w:rsid w:val="001D69BA"/>
    <w:rPr>
      <w:rFonts w:ascii="Times New Roman" w:eastAsia="Times New Roman" w:hAnsi="Times New Roman" w:cs="Times New Roman"/>
      <w:b/>
      <w:bCs/>
      <w:sz w:val="18"/>
      <w:szCs w:val="18"/>
    </w:rPr>
  </w:style>
  <w:style w:type="character" w:customStyle="1" w:styleId="Headerorfooter2">
    <w:name w:val="Header or footer (2)_"/>
    <w:basedOn w:val="Numatytasispastraiposriftas"/>
    <w:link w:val="Headerorfooter20"/>
    <w:rsid w:val="001D69BA"/>
    <w:rPr>
      <w:rFonts w:ascii="Times New Roman" w:eastAsia="Times New Roman" w:hAnsi="Times New Roman" w:cs="Times New Roman"/>
      <w:sz w:val="20"/>
      <w:szCs w:val="20"/>
    </w:rPr>
  </w:style>
  <w:style w:type="character" w:customStyle="1" w:styleId="Bodytext5">
    <w:name w:val="Body text (5)_"/>
    <w:basedOn w:val="Numatytasispastraiposriftas"/>
    <w:link w:val="Bodytext50"/>
    <w:rsid w:val="001D69BA"/>
    <w:rPr>
      <w:rFonts w:ascii="Times New Roman" w:eastAsia="Times New Roman" w:hAnsi="Times New Roman" w:cs="Times New Roman"/>
      <w:sz w:val="12"/>
      <w:szCs w:val="12"/>
    </w:rPr>
  </w:style>
  <w:style w:type="character" w:customStyle="1" w:styleId="Tablecaption">
    <w:name w:val="Table caption_"/>
    <w:basedOn w:val="Numatytasispastraiposriftas"/>
    <w:link w:val="Tablecaption0"/>
    <w:rsid w:val="001D69BA"/>
    <w:rPr>
      <w:rFonts w:ascii="Times New Roman" w:eastAsia="Times New Roman" w:hAnsi="Times New Roman" w:cs="Times New Roman"/>
    </w:rPr>
  </w:style>
  <w:style w:type="character" w:customStyle="1" w:styleId="Other">
    <w:name w:val="Other_"/>
    <w:basedOn w:val="Numatytasispastraiposriftas"/>
    <w:link w:val="Other0"/>
    <w:rsid w:val="001D69BA"/>
    <w:rPr>
      <w:rFonts w:ascii="Times New Roman" w:eastAsia="Times New Roman" w:hAnsi="Times New Roman" w:cs="Times New Roman"/>
    </w:rPr>
  </w:style>
  <w:style w:type="character" w:customStyle="1" w:styleId="Bodytext6">
    <w:name w:val="Body text (6)_"/>
    <w:basedOn w:val="Numatytasispastraiposriftas"/>
    <w:link w:val="Bodytext60"/>
    <w:rsid w:val="001D69BA"/>
    <w:rPr>
      <w:rFonts w:ascii="Times New Roman" w:eastAsia="Times New Roman" w:hAnsi="Times New Roman" w:cs="Times New Roman"/>
      <w:sz w:val="10"/>
      <w:szCs w:val="10"/>
    </w:rPr>
  </w:style>
  <w:style w:type="character" w:customStyle="1" w:styleId="Heading1">
    <w:name w:val="Heading #1_"/>
    <w:basedOn w:val="Numatytasispastraiposriftas"/>
    <w:link w:val="Heading10"/>
    <w:rsid w:val="001D69BA"/>
    <w:rPr>
      <w:rFonts w:ascii="Times New Roman" w:eastAsia="Times New Roman" w:hAnsi="Times New Roman" w:cs="Times New Roman"/>
      <w:sz w:val="28"/>
      <w:szCs w:val="28"/>
    </w:rPr>
  </w:style>
  <w:style w:type="paragraph" w:customStyle="1" w:styleId="Bodytext20">
    <w:name w:val="Body text (2)"/>
    <w:basedOn w:val="prastasis"/>
    <w:link w:val="Bodytext2"/>
    <w:rsid w:val="001D69BA"/>
    <w:pPr>
      <w:spacing w:line="295" w:lineRule="auto"/>
    </w:pPr>
    <w:rPr>
      <w:rFonts w:ascii="Times New Roman" w:eastAsia="Times New Roman" w:hAnsi="Times New Roman" w:cs="Times New Roman"/>
      <w:color w:val="auto"/>
      <w:sz w:val="16"/>
      <w:szCs w:val="16"/>
      <w:lang w:eastAsia="en-US" w:bidi="ar-SA"/>
    </w:rPr>
  </w:style>
  <w:style w:type="paragraph" w:customStyle="1" w:styleId="Bodytext30">
    <w:name w:val="Body text (3)"/>
    <w:basedOn w:val="prastasis"/>
    <w:link w:val="Bodytext3"/>
    <w:rsid w:val="001D69BA"/>
    <w:pPr>
      <w:spacing w:line="290" w:lineRule="auto"/>
    </w:pPr>
    <w:rPr>
      <w:rFonts w:ascii="Times New Roman" w:eastAsia="Times New Roman" w:hAnsi="Times New Roman" w:cs="Times New Roman"/>
      <w:color w:val="auto"/>
      <w:sz w:val="14"/>
      <w:szCs w:val="14"/>
      <w:lang w:eastAsia="en-US" w:bidi="ar-SA"/>
    </w:rPr>
  </w:style>
  <w:style w:type="paragraph" w:styleId="Pagrindinistekstas">
    <w:name w:val="Body Text"/>
    <w:basedOn w:val="prastasis"/>
    <w:link w:val="PagrindinistekstasDiagrama"/>
    <w:qFormat/>
    <w:rsid w:val="001D69BA"/>
    <w:pPr>
      <w:spacing w:after="80" w:line="394" w:lineRule="auto"/>
    </w:pPr>
    <w:rPr>
      <w:rFonts w:ascii="Times New Roman" w:eastAsia="Times New Roman" w:hAnsi="Times New Roman" w:cs="Times New Roman"/>
      <w:color w:val="auto"/>
      <w:sz w:val="22"/>
      <w:szCs w:val="22"/>
      <w:lang w:eastAsia="en-US" w:bidi="ar-SA"/>
    </w:rPr>
  </w:style>
  <w:style w:type="character" w:customStyle="1" w:styleId="PagrindinistekstasDiagrama1">
    <w:name w:val="Pagrindinis tekstas Diagrama1"/>
    <w:basedOn w:val="Numatytasispastraiposriftas"/>
    <w:uiPriority w:val="99"/>
    <w:semiHidden/>
    <w:rsid w:val="001D69BA"/>
    <w:rPr>
      <w:rFonts w:ascii="Microsoft Sans Serif" w:eastAsia="Microsoft Sans Serif" w:hAnsi="Microsoft Sans Serif" w:cs="Microsoft Sans Serif"/>
      <w:color w:val="000000"/>
      <w:sz w:val="24"/>
      <w:szCs w:val="24"/>
      <w:lang w:eastAsia="lt-LT" w:bidi="lt-LT"/>
    </w:rPr>
  </w:style>
  <w:style w:type="paragraph" w:customStyle="1" w:styleId="Bodytext40">
    <w:name w:val="Body text (4)"/>
    <w:basedOn w:val="prastasis"/>
    <w:link w:val="Bodytext4"/>
    <w:rsid w:val="001D69BA"/>
    <w:pPr>
      <w:spacing w:after="20" w:line="295" w:lineRule="auto"/>
    </w:pPr>
    <w:rPr>
      <w:rFonts w:ascii="Times New Roman" w:eastAsia="Times New Roman" w:hAnsi="Times New Roman" w:cs="Times New Roman"/>
      <w:b/>
      <w:bCs/>
      <w:color w:val="auto"/>
      <w:sz w:val="18"/>
      <w:szCs w:val="18"/>
      <w:lang w:eastAsia="en-US" w:bidi="ar-SA"/>
    </w:rPr>
  </w:style>
  <w:style w:type="paragraph" w:customStyle="1" w:styleId="Headerorfooter20">
    <w:name w:val="Header or footer (2)"/>
    <w:basedOn w:val="prastasis"/>
    <w:link w:val="Headerorfooter2"/>
    <w:rsid w:val="001D69BA"/>
    <w:rPr>
      <w:rFonts w:ascii="Times New Roman" w:eastAsia="Times New Roman" w:hAnsi="Times New Roman" w:cs="Times New Roman"/>
      <w:color w:val="auto"/>
      <w:sz w:val="20"/>
      <w:szCs w:val="20"/>
      <w:lang w:eastAsia="en-US" w:bidi="ar-SA"/>
    </w:rPr>
  </w:style>
  <w:style w:type="paragraph" w:customStyle="1" w:styleId="Bodytext50">
    <w:name w:val="Body text (5)"/>
    <w:basedOn w:val="prastasis"/>
    <w:link w:val="Bodytext5"/>
    <w:rsid w:val="001D69BA"/>
    <w:pPr>
      <w:spacing w:after="390"/>
      <w:ind w:right="200"/>
      <w:jc w:val="center"/>
    </w:pPr>
    <w:rPr>
      <w:rFonts w:ascii="Times New Roman" w:eastAsia="Times New Roman" w:hAnsi="Times New Roman" w:cs="Times New Roman"/>
      <w:color w:val="auto"/>
      <w:sz w:val="12"/>
      <w:szCs w:val="12"/>
      <w:lang w:eastAsia="en-US" w:bidi="ar-SA"/>
    </w:rPr>
  </w:style>
  <w:style w:type="paragraph" w:customStyle="1" w:styleId="Tablecaption0">
    <w:name w:val="Table caption"/>
    <w:basedOn w:val="prastasis"/>
    <w:link w:val="Tablecaption"/>
    <w:rsid w:val="001D69BA"/>
    <w:rPr>
      <w:rFonts w:ascii="Times New Roman" w:eastAsia="Times New Roman" w:hAnsi="Times New Roman" w:cs="Times New Roman"/>
      <w:color w:val="auto"/>
      <w:sz w:val="22"/>
      <w:szCs w:val="22"/>
      <w:lang w:eastAsia="en-US" w:bidi="ar-SA"/>
    </w:rPr>
  </w:style>
  <w:style w:type="paragraph" w:customStyle="1" w:styleId="Other0">
    <w:name w:val="Other"/>
    <w:basedOn w:val="prastasis"/>
    <w:link w:val="Other"/>
    <w:rsid w:val="001D69BA"/>
    <w:rPr>
      <w:rFonts w:ascii="Times New Roman" w:eastAsia="Times New Roman" w:hAnsi="Times New Roman" w:cs="Times New Roman"/>
      <w:color w:val="auto"/>
      <w:sz w:val="22"/>
      <w:szCs w:val="22"/>
      <w:lang w:eastAsia="en-US" w:bidi="ar-SA"/>
    </w:rPr>
  </w:style>
  <w:style w:type="paragraph" w:customStyle="1" w:styleId="Bodytext60">
    <w:name w:val="Body text (6)"/>
    <w:basedOn w:val="prastasis"/>
    <w:link w:val="Bodytext6"/>
    <w:rsid w:val="001D69BA"/>
    <w:pPr>
      <w:spacing w:after="540"/>
      <w:ind w:left="3260"/>
    </w:pPr>
    <w:rPr>
      <w:rFonts w:ascii="Times New Roman" w:eastAsia="Times New Roman" w:hAnsi="Times New Roman" w:cs="Times New Roman"/>
      <w:color w:val="auto"/>
      <w:sz w:val="10"/>
      <w:szCs w:val="10"/>
      <w:lang w:eastAsia="en-US" w:bidi="ar-SA"/>
    </w:rPr>
  </w:style>
  <w:style w:type="paragraph" w:customStyle="1" w:styleId="Heading10">
    <w:name w:val="Heading #1"/>
    <w:basedOn w:val="prastasis"/>
    <w:link w:val="Heading1"/>
    <w:rsid w:val="001D69BA"/>
    <w:pPr>
      <w:spacing w:after="560"/>
      <w:jc w:val="center"/>
      <w:outlineLvl w:val="0"/>
    </w:pPr>
    <w:rPr>
      <w:rFonts w:ascii="Times New Roman" w:eastAsia="Times New Roman" w:hAnsi="Times New Roman" w:cs="Times New Roman"/>
      <w:color w:val="auto"/>
      <w:sz w:val="28"/>
      <w:szCs w:val="28"/>
      <w:lang w:eastAsia="en-US" w:bidi="ar-SA"/>
    </w:rPr>
  </w:style>
  <w:style w:type="paragraph" w:styleId="Antrats">
    <w:name w:val="header"/>
    <w:basedOn w:val="prastasis"/>
    <w:link w:val="AntratsDiagrama"/>
    <w:uiPriority w:val="99"/>
    <w:unhideWhenUsed/>
    <w:rsid w:val="001D69BA"/>
    <w:pPr>
      <w:tabs>
        <w:tab w:val="center" w:pos="4986"/>
        <w:tab w:val="right" w:pos="9972"/>
      </w:tabs>
    </w:pPr>
  </w:style>
  <w:style w:type="character" w:customStyle="1" w:styleId="AntratsDiagrama">
    <w:name w:val="Antraštės Diagrama"/>
    <w:basedOn w:val="Numatytasispastraiposriftas"/>
    <w:link w:val="Antrats"/>
    <w:uiPriority w:val="99"/>
    <w:rsid w:val="001D69BA"/>
    <w:rPr>
      <w:rFonts w:ascii="Microsoft Sans Serif" w:eastAsia="Microsoft Sans Serif" w:hAnsi="Microsoft Sans Serif" w:cs="Microsoft Sans Serif"/>
      <w:color w:val="000000"/>
      <w:sz w:val="24"/>
      <w:szCs w:val="24"/>
      <w:lang w:eastAsia="lt-LT" w:bidi="lt-LT"/>
    </w:rPr>
  </w:style>
  <w:style w:type="paragraph" w:styleId="Porat">
    <w:name w:val="footer"/>
    <w:basedOn w:val="prastasis"/>
    <w:link w:val="PoratDiagrama"/>
    <w:uiPriority w:val="99"/>
    <w:unhideWhenUsed/>
    <w:rsid w:val="001D69BA"/>
    <w:pPr>
      <w:tabs>
        <w:tab w:val="center" w:pos="4986"/>
        <w:tab w:val="right" w:pos="9972"/>
      </w:tabs>
    </w:pPr>
  </w:style>
  <w:style w:type="character" w:customStyle="1" w:styleId="PoratDiagrama">
    <w:name w:val="Poraštė Diagrama"/>
    <w:basedOn w:val="Numatytasispastraiposriftas"/>
    <w:link w:val="Porat"/>
    <w:uiPriority w:val="99"/>
    <w:rsid w:val="001D69BA"/>
    <w:rPr>
      <w:rFonts w:ascii="Microsoft Sans Serif" w:eastAsia="Microsoft Sans Serif" w:hAnsi="Microsoft Sans Serif" w:cs="Microsoft Sans Serif"/>
      <w:color w:val="000000"/>
      <w:sz w:val="24"/>
      <w:szCs w:val="24"/>
      <w:lang w:eastAsia="lt-LT" w:bidi="lt-LT"/>
    </w:rPr>
  </w:style>
  <w:style w:type="character" w:styleId="Grietas">
    <w:name w:val="Strong"/>
    <w:basedOn w:val="Numatytasispastraiposriftas"/>
    <w:uiPriority w:val="22"/>
    <w:qFormat/>
    <w:rsid w:val="001D69BA"/>
    <w:rPr>
      <w:b/>
      <w:bCs/>
    </w:rPr>
  </w:style>
  <w:style w:type="character" w:styleId="Hipersaitas">
    <w:name w:val="Hyperlink"/>
    <w:rsid w:val="001D69BA"/>
    <w:rPr>
      <w:color w:val="000080"/>
      <w:u w:val="single"/>
    </w:rPr>
  </w:style>
  <w:style w:type="character" w:customStyle="1" w:styleId="UnresolvedMention">
    <w:name w:val="Unresolved Mention"/>
    <w:basedOn w:val="Numatytasispastraiposriftas"/>
    <w:uiPriority w:val="99"/>
    <w:semiHidden/>
    <w:unhideWhenUsed/>
    <w:rsid w:val="001D69BA"/>
    <w:rPr>
      <w:color w:val="605E5C"/>
      <w:shd w:val="clear" w:color="auto" w:fill="E1DFDD"/>
    </w:rPr>
  </w:style>
  <w:style w:type="paragraph" w:styleId="Pagrindiniotekstotrauka">
    <w:name w:val="Body Text Indent"/>
    <w:basedOn w:val="prastasis"/>
    <w:link w:val="PagrindiniotekstotraukaDiagrama"/>
    <w:uiPriority w:val="99"/>
    <w:semiHidden/>
    <w:unhideWhenUsed/>
    <w:rsid w:val="001D69BA"/>
    <w:pPr>
      <w:widowControl/>
      <w:spacing w:after="120"/>
      <w:ind w:left="283"/>
    </w:pPr>
    <w:rPr>
      <w:rFonts w:ascii="Times New Roman" w:eastAsia="Times New Roman" w:hAnsi="Times New Roman" w:cs="Times New Roman"/>
      <w:color w:val="auto"/>
      <w:sz w:val="20"/>
      <w:szCs w:val="20"/>
      <w:lang w:eastAsia="en-US" w:bidi="ar-SA"/>
    </w:rPr>
  </w:style>
  <w:style w:type="character" w:customStyle="1" w:styleId="PagrindiniotekstotraukaDiagrama">
    <w:name w:val="Pagrindinio teksto įtrauka Diagrama"/>
    <w:basedOn w:val="Numatytasispastraiposriftas"/>
    <w:link w:val="Pagrindiniotekstotrauka"/>
    <w:uiPriority w:val="99"/>
    <w:semiHidden/>
    <w:rsid w:val="001D69BA"/>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1D69B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D69BA"/>
    <w:rPr>
      <w:rFonts w:ascii="Segoe UI" w:eastAsia="Microsoft Sans Serif" w:hAnsi="Segoe UI" w:cs="Segoe UI"/>
      <w:color w:val="000000"/>
      <w:sz w:val="18"/>
      <w:szCs w:val="18"/>
      <w:lang w:eastAsia="lt-LT" w:bidi="lt-LT"/>
    </w:rPr>
  </w:style>
  <w:style w:type="paragraph" w:styleId="Sraopastraipa">
    <w:name w:val="List Paragraph"/>
    <w:basedOn w:val="prastasis"/>
    <w:uiPriority w:val="34"/>
    <w:qFormat/>
    <w:rsid w:val="001D69BA"/>
    <w:pPr>
      <w:ind w:left="720"/>
      <w:contextualSpacing/>
    </w:pPr>
  </w:style>
  <w:style w:type="character" w:styleId="Perirtashipersaitas">
    <w:name w:val="FollowedHyperlink"/>
    <w:basedOn w:val="Numatytasispastraiposriftas"/>
    <w:uiPriority w:val="99"/>
    <w:semiHidden/>
    <w:unhideWhenUsed/>
    <w:rsid w:val="001D69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rgita.simkiene@sac.l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34618</Words>
  <Characters>19733</Characters>
  <Application>Microsoft Office Word</Application>
  <DocSecurity>0</DocSecurity>
  <Lines>164</Lines>
  <Paragraphs>108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2023-09-21T06:53:00Z</dcterms:created>
  <dcterms:modified xsi:type="dcterms:W3CDTF">2023-09-21T06:53:00Z</dcterms:modified>
</cp:coreProperties>
</file>